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tabs>
          <w:tab w:leader="none" w:pos="4069" w:val="left"/>
          <w:tab w:leader="none" w:pos="4676" w:val="center"/>
        </w:tabs>
        <w:spacing w:after="0" w:line="240" w:lineRule="auto"/>
        <w:ind/>
        <w:rPr>
          <w:rFonts w:ascii="Times New Roman" w:hAnsi="Times New Roman"/>
          <w:sz w:val="26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1435" distL="120650" distR="123190" distT="50800" layoutInCell="true" locked="false" relativeHeight="251658240" simplePos="false">
                <wp:simplePos x="0" y="0"/>
                <wp:positionH relativeFrom="column">
                  <wp:posOffset>5260975</wp:posOffset>
                </wp:positionH>
                <wp:positionV relativeFrom="paragraph">
                  <wp:posOffset>-466090</wp:posOffset>
                </wp:positionV>
                <wp:extent cx="774065" cy="273050"/>
                <wp:wrapSquare distB="51435" distL="120650" distR="123190" distT="50800" wrapText="bothSides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740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2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drawing>
          <wp:inline>
            <wp:extent cx="605790" cy="744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05790" cy="7442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</w:rPr>
        <w:t xml:space="preserve"> 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Ненецкого автономного округа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2026 г. № ___-п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Нарьян-Мар</w:t>
      </w:r>
    </w:p>
    <w:p w14:paraId="0E000000">
      <w:pPr>
        <w:pStyle w:val="Style_3"/>
        <w:widowControl w:val="1"/>
        <w:tabs>
          <w:tab w:leader="none" w:pos="142" w:val="left"/>
          <w:tab w:leader="none" w:pos="709" w:val="left"/>
        </w:tabs>
        <w:spacing w:after="0"/>
        <w:ind w:firstLine="0" w:left="1276" w:right="1276"/>
        <w:jc w:val="center"/>
        <w:rPr>
          <w:b w:val="1"/>
        </w:rPr>
      </w:pPr>
    </w:p>
    <w:p w14:paraId="0F000000">
      <w:pPr>
        <w:widowControl w:val="0"/>
        <w:tabs>
          <w:tab w:leader="none" w:pos="7655" w:val="left"/>
        </w:tabs>
        <w:spacing w:after="0" w:line="240" w:lineRule="auto"/>
        <w:ind w:left="1276" w:right="15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Порядок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 разграничена</w:t>
      </w:r>
    </w:p>
    <w:p w14:paraId="10000000">
      <w:pPr>
        <w:widowControl w:val="0"/>
        <w:tabs>
          <w:tab w:leader="none" w:pos="7655" w:val="left"/>
        </w:tabs>
        <w:spacing w:after="0" w:line="240" w:lineRule="auto"/>
        <w:ind w:left="1276" w:right="1560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 xml:space="preserve">В соответствии с </w:t>
      </w:r>
      <w:r>
        <w:rPr>
          <w:rFonts w:ascii="Times New Roman" w:hAnsi="Times New Roman"/>
          <w:spacing w:val="-2"/>
          <w:sz w:val="26"/>
        </w:rPr>
        <w:fldChar w:fldCharType="begin"/>
      </w:r>
      <w:r>
        <w:rPr>
          <w:rFonts w:ascii="Times New Roman" w:hAnsi="Times New Roman"/>
          <w:spacing w:val="-2"/>
          <w:sz w:val="26"/>
        </w:rPr>
        <w:instrText>HYPERLINK "consultantplus://offline/ref=79DA9D32DD4CD13FF2D9F929D2DD8CC85BD3AF9F73A2DC0D70811B549D81BFEE099CD2F0E423DCAD81CC6A4E73D51EA8CAAAB31D19CDCC6Am7N6O"</w:instrText>
      </w:r>
      <w:r>
        <w:rPr>
          <w:rFonts w:ascii="Times New Roman" w:hAnsi="Times New Roman"/>
          <w:spacing w:val="-2"/>
          <w:sz w:val="26"/>
        </w:rPr>
        <w:fldChar w:fldCharType="separate"/>
      </w:r>
      <w:r>
        <w:rPr>
          <w:rFonts w:ascii="Times New Roman" w:hAnsi="Times New Roman"/>
          <w:spacing w:val="-2"/>
          <w:sz w:val="26"/>
        </w:rPr>
        <w:t>пунктом 2 статьи 7</w:t>
      </w:r>
      <w:r>
        <w:rPr>
          <w:rFonts w:ascii="Times New Roman" w:hAnsi="Times New Roman"/>
          <w:spacing w:val="-2"/>
          <w:sz w:val="26"/>
        </w:rPr>
        <w:fldChar w:fldCharType="end"/>
      </w:r>
      <w:r>
        <w:rPr>
          <w:rFonts w:ascii="Times New Roman" w:hAnsi="Times New Roman"/>
          <w:spacing w:val="-2"/>
          <w:sz w:val="26"/>
        </w:rPr>
        <w:t xml:space="preserve">, </w:t>
      </w:r>
      <w:r>
        <w:rPr>
          <w:rFonts w:ascii="Times New Roman" w:hAnsi="Times New Roman"/>
          <w:spacing w:val="-2"/>
          <w:sz w:val="26"/>
        </w:rPr>
        <w:fldChar w:fldCharType="begin"/>
      </w:r>
      <w:r>
        <w:rPr>
          <w:rFonts w:ascii="Times New Roman" w:hAnsi="Times New Roman"/>
          <w:spacing w:val="-2"/>
          <w:sz w:val="26"/>
        </w:rPr>
        <w:instrText>HYPERLINK "consultantplus://offline/ref=79DA9D32DD4CD13FF2D9F929D2DD8CC85BD3AF9F73A2DC0D70811B549D81BFEE099CD2F4E521D7FFD2836B1234810DAACBAAB01D05mCNDO"</w:instrText>
      </w:r>
      <w:r>
        <w:rPr>
          <w:rFonts w:ascii="Times New Roman" w:hAnsi="Times New Roman"/>
          <w:spacing w:val="-2"/>
          <w:sz w:val="26"/>
        </w:rPr>
        <w:fldChar w:fldCharType="separate"/>
      </w:r>
      <w:r>
        <w:rPr>
          <w:rFonts w:ascii="Times New Roman" w:hAnsi="Times New Roman"/>
          <w:spacing w:val="-2"/>
          <w:sz w:val="26"/>
        </w:rPr>
        <w:t>статьей 39.7</w:t>
      </w:r>
      <w:r>
        <w:rPr>
          <w:rFonts w:ascii="Times New Roman" w:hAnsi="Times New Roman"/>
          <w:spacing w:val="-2"/>
          <w:sz w:val="26"/>
        </w:rPr>
        <w:fldChar w:fldCharType="end"/>
      </w:r>
      <w:r>
        <w:rPr>
          <w:rFonts w:ascii="Times New Roman" w:hAnsi="Times New Roman"/>
          <w:spacing w:val="-2"/>
          <w:sz w:val="26"/>
        </w:rPr>
        <w:t xml:space="preserve"> Земельного кодекса Российской Федерации, </w:t>
      </w:r>
      <w:r>
        <w:rPr>
          <w:rFonts w:ascii="Times New Roman" w:hAnsi="Times New Roman"/>
          <w:spacing w:val="-2"/>
          <w:sz w:val="26"/>
        </w:rPr>
        <w:fldChar w:fldCharType="begin"/>
      </w:r>
      <w:r>
        <w:rPr>
          <w:rFonts w:ascii="Times New Roman" w:hAnsi="Times New Roman"/>
          <w:spacing w:val="-2"/>
          <w:sz w:val="26"/>
        </w:rPr>
        <w:instrText>HYPERLINK "consultantplus://offline/ref=79DA9D32DD4CD13FF2D9E724C4B1DBC45AD8F19371A6DE5A2DDE4009CA88B5B94ED38BB2A02EDDAB83C73A1E3CD442EF9EB9B11C19CECC767683CCm4N8O"</w:instrText>
      </w:r>
      <w:r>
        <w:rPr>
          <w:rFonts w:ascii="Times New Roman" w:hAnsi="Times New Roman"/>
          <w:spacing w:val="-2"/>
          <w:sz w:val="26"/>
        </w:rPr>
        <w:fldChar w:fldCharType="separate"/>
      </w:r>
      <w:r>
        <w:rPr>
          <w:rFonts w:ascii="Times New Roman" w:hAnsi="Times New Roman"/>
          <w:spacing w:val="-2"/>
          <w:sz w:val="26"/>
        </w:rPr>
        <w:t>статьями 7</w:t>
      </w:r>
      <w:r>
        <w:rPr>
          <w:rFonts w:ascii="Times New Roman" w:hAnsi="Times New Roman"/>
          <w:spacing w:val="-2"/>
          <w:sz w:val="26"/>
        </w:rPr>
        <w:fldChar w:fldCharType="end"/>
      </w:r>
      <w:r>
        <w:rPr>
          <w:rFonts w:ascii="Times New Roman" w:hAnsi="Times New Roman"/>
          <w:spacing w:val="-2"/>
          <w:sz w:val="26"/>
        </w:rPr>
        <w:t xml:space="preserve">, </w:t>
      </w:r>
      <w:r>
        <w:rPr>
          <w:rFonts w:ascii="Times New Roman" w:hAnsi="Times New Roman"/>
          <w:spacing w:val="-2"/>
          <w:sz w:val="26"/>
        </w:rPr>
        <w:fldChar w:fldCharType="begin"/>
      </w:r>
      <w:r>
        <w:rPr>
          <w:rFonts w:ascii="Times New Roman" w:hAnsi="Times New Roman"/>
          <w:spacing w:val="-2"/>
          <w:sz w:val="26"/>
        </w:rPr>
        <w:instrText>HYPERLINK "consultantplus://offline/ref=79DA9D32DD4CD13FF2D9E724C4B1DBC45AD8F19371A6DE5A2DDE4009CA88B5B94ED38BB2A02EDDAB83C539193CD442EF9EB9B11C19CECC767683CCm4N8O"</w:instrText>
      </w:r>
      <w:r>
        <w:rPr>
          <w:rFonts w:ascii="Times New Roman" w:hAnsi="Times New Roman"/>
          <w:spacing w:val="-2"/>
          <w:sz w:val="26"/>
        </w:rPr>
        <w:fldChar w:fldCharType="separate"/>
      </w:r>
      <w:r>
        <w:rPr>
          <w:rFonts w:ascii="Times New Roman" w:hAnsi="Times New Roman"/>
          <w:spacing w:val="-2"/>
          <w:sz w:val="26"/>
        </w:rPr>
        <w:t>16</w:t>
      </w:r>
      <w:r>
        <w:rPr>
          <w:rFonts w:ascii="Times New Roman" w:hAnsi="Times New Roman"/>
          <w:spacing w:val="-2"/>
          <w:sz w:val="26"/>
        </w:rPr>
        <w:fldChar w:fldCharType="end"/>
      </w:r>
      <w:r>
        <w:rPr>
          <w:rFonts w:ascii="Times New Roman" w:hAnsi="Times New Roman"/>
          <w:spacing w:val="-2"/>
          <w:sz w:val="26"/>
        </w:rPr>
        <w:t xml:space="preserve"> закона Ненецкого автономного округа от 06.01.2005 № 542-оз «Об Администрации Ненецкого автономного округа и иных органах исполнительной власти Ненецкого автономного округа» </w:t>
      </w:r>
      <w:r>
        <w:rPr>
          <w:rFonts w:ascii="Times New Roman" w:hAnsi="Times New Roman"/>
          <w:sz w:val="26"/>
        </w:rPr>
        <w:t>Администрация Ненецкого автономного округа ПОСТАНОВЛЯЕТ: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 xml:space="preserve">1. Внести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"consultantplus://offline/ref=12978377F5AE00579CBBCFB7DA4F2D94863AE6EBF7F7CDC29F6C5AB8FB816E9B485A7190EB4362CED12F0D6F9B33EF60FFA8467CD19EEFB188EA16c2P1O"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изменения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"consultantplus://offline/ref=12978377F5AE00579CBBCFB7DA4F2D94863AE6EBF6FFCDC79E6C5AB8FB816E9B485A7190EB4362CED12F0C6E9B33EF60FFA8467CD19EEFB188EA16c2P1O"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Порядок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определения размера арендной платы за земельные участки, находящиеся в собственности Ненецкого автономного округа, и земельные участки, государственная собственность на которые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не разграничена, утвержденный постановлением Администрации Ненецкого автономного округа от 20.05.2015 № 159-п (с изменениями, внесенными </w:t>
      </w:r>
      <w:r>
        <w:rPr>
          <w:rFonts w:ascii="Times New Roman" w:hAnsi="Times New Roman"/>
          <w:sz w:val="26"/>
        </w:rPr>
        <w:t>постановлением Администрации Ненецкого автономного округа от 02.12.2025 № 304-п), согласно Приложению.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 Настоящее постановление вступает в силу по истечении десяти дней после</w:t>
      </w:r>
      <w:r>
        <w:rPr>
          <w:rFonts w:ascii="Times New Roman" w:hAnsi="Times New Roman"/>
          <w:sz w:val="26"/>
        </w:rPr>
        <w:t xml:space="preserve"> дня его официального опубликования и распространяет свое действие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правоотношения, возникшие с 1 января 2026 года.</w:t>
      </w:r>
    </w:p>
    <w:p w14:paraId="15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6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7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8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Губернатор </w:t>
      </w:r>
    </w:p>
    <w:p w14:paraId="19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Ненецкого автономного округа                                                                         И.А. </w:t>
      </w:r>
      <w:r>
        <w:rPr>
          <w:rFonts w:ascii="Times New Roman" w:hAnsi="Times New Roman"/>
          <w:color w:val="000000"/>
          <w:sz w:val="26"/>
        </w:rPr>
        <w:t>Гехт</w:t>
      </w: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6"/>
        </w:rPr>
      </w:pPr>
      <w:r>
        <w:br w:type="page"/>
      </w:r>
    </w:p>
    <w:p w14:paraId="1B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</w:t>
      </w:r>
    </w:p>
    <w:p w14:paraId="1C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постановлению Администрации Ненецкого автономного округа </w:t>
      </w:r>
    </w:p>
    <w:p w14:paraId="1D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</w:t>
      </w:r>
      <w:r>
        <w:rPr>
          <w:rFonts w:ascii="Times New Roman" w:hAnsi="Times New Roman"/>
          <w:sz w:val="26"/>
        </w:rPr>
        <w:t>_._</w:t>
      </w:r>
      <w:r>
        <w:rPr>
          <w:rFonts w:ascii="Times New Roman" w:hAnsi="Times New Roman"/>
          <w:sz w:val="26"/>
        </w:rPr>
        <w:t>_.2026 № ____-п</w:t>
      </w:r>
    </w:p>
    <w:p w14:paraId="1E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 внесении изменений в Порядок определения размера арендной платы за земельные участки, находящиеся </w:t>
      </w:r>
    </w:p>
    <w:p w14:paraId="1F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собственности Ненецкого автономного округа, и земельные участки, государственная собственность на которые </w:t>
      </w:r>
    </w:p>
    <w:p w14:paraId="20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разграничена»</w:t>
      </w:r>
    </w:p>
    <w:p w14:paraId="21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</w:p>
    <w:p w14:paraId="22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</w:p>
    <w:p w14:paraId="23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</w:p>
    <w:p w14:paraId="24000000">
      <w:pPr>
        <w:widowControl w:val="0"/>
        <w:tabs>
          <w:tab w:leader="none" w:pos="709" w:val="left"/>
        </w:tabs>
        <w:spacing w:after="0" w:line="240" w:lineRule="auto"/>
        <w:ind w:left="5103"/>
        <w:rPr>
          <w:rFonts w:ascii="Times New Roman" w:hAnsi="Times New Roman"/>
          <w:sz w:val="26"/>
        </w:rPr>
      </w:pPr>
    </w:p>
    <w:p w14:paraId="25000000">
      <w:pPr>
        <w:widowControl w:val="0"/>
        <w:tabs>
          <w:tab w:leader="none" w:pos="709" w:val="left"/>
        </w:tabs>
        <w:spacing w:after="0" w:line="240" w:lineRule="auto"/>
        <w:ind w:left="1276" w:right="1273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Изменения </w:t>
      </w:r>
    </w:p>
    <w:p w14:paraId="26000000">
      <w:pPr>
        <w:widowControl w:val="0"/>
        <w:tabs>
          <w:tab w:leader="none" w:pos="709" w:val="left"/>
        </w:tabs>
        <w:spacing w:after="0" w:line="240" w:lineRule="auto"/>
        <w:ind w:left="1276" w:right="1273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 Порядок определения размера арендной платы </w:t>
      </w:r>
    </w:p>
    <w:p w14:paraId="27000000">
      <w:pPr>
        <w:widowControl w:val="0"/>
        <w:tabs>
          <w:tab w:leader="none" w:pos="709" w:val="left"/>
        </w:tabs>
        <w:spacing w:after="0" w:line="240" w:lineRule="auto"/>
        <w:ind w:left="1276" w:right="1273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за земельные участки, находящиеся в собственности Ненецкого автономного округа, и земельные участки, государственная собственность на которые </w:t>
      </w:r>
    </w:p>
    <w:p w14:paraId="28000000">
      <w:pPr>
        <w:widowControl w:val="0"/>
        <w:tabs>
          <w:tab w:leader="none" w:pos="709" w:val="left"/>
        </w:tabs>
        <w:spacing w:after="0" w:line="240" w:lineRule="auto"/>
        <w:ind w:left="1276" w:right="1273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не разграничена</w:t>
      </w:r>
    </w:p>
    <w:p w14:paraId="29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A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B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 Пункт 2 изложить в следующей редакции:</w:t>
      </w:r>
    </w:p>
    <w:p w14:paraId="2C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«2. Размер арендной платы при аренде земельных участков в расчете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на год (далее – арендная плата) устанавливается в договоре аренды и определяется одним из следующих способов:</w:t>
      </w:r>
    </w:p>
    <w:p w14:paraId="2D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1) на основании кадастровой стоимости земельных участков по формуле:</w:t>
      </w:r>
    </w:p>
    <w:p w14:paraId="2E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Агз</w:t>
      </w:r>
      <w:r>
        <w:rPr>
          <w:rFonts w:ascii="Times New Roman" w:hAnsi="Times New Roman"/>
          <w:color w:val="000000"/>
          <w:sz w:val="26"/>
        </w:rPr>
        <w:t xml:space="preserve"> = КС * П * Ки</w:t>
      </w:r>
    </w:p>
    <w:p w14:paraId="2F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где:</w:t>
      </w:r>
    </w:p>
    <w:p w14:paraId="30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Агз</w:t>
      </w:r>
      <w:r>
        <w:rPr>
          <w:rFonts w:ascii="Times New Roman" w:hAnsi="Times New Roman"/>
          <w:color w:val="000000"/>
          <w:sz w:val="26"/>
        </w:rPr>
        <w:t xml:space="preserve"> – размер арендной платы за использование земельного участка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год (руб.).</w:t>
      </w:r>
    </w:p>
    <w:p w14:paraId="31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КС – кадастровая стоимость земельного участка;</w:t>
      </w:r>
    </w:p>
    <w:p w14:paraId="32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 – процент от кадастровой стоимости, указанный в пунктах 3, 5 настоящего Положения;</w:t>
      </w:r>
    </w:p>
    <w:p w14:paraId="33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Ки – коэффициент инфляции, рассчитанный в соответствии с п.9 настоящего положения</w:t>
      </w:r>
      <w:r>
        <w:rPr>
          <w:rFonts w:ascii="Times New Roman" w:hAnsi="Times New Roman"/>
          <w:color w:val="000000"/>
          <w:sz w:val="26"/>
        </w:rPr>
        <w:t>;</w:t>
      </w:r>
    </w:p>
    <w:p w14:paraId="34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2) в соответствии со ставками арендной платы по формуле:</w:t>
      </w:r>
    </w:p>
    <w:p w14:paraId="35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Агз</w:t>
      </w:r>
      <w:r>
        <w:rPr>
          <w:rFonts w:ascii="Times New Roman" w:hAnsi="Times New Roman"/>
          <w:color w:val="000000"/>
          <w:sz w:val="26"/>
        </w:rPr>
        <w:t xml:space="preserve"> = S *С</w:t>
      </w:r>
    </w:p>
    <w:p w14:paraId="36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где:</w:t>
      </w:r>
    </w:p>
    <w:p w14:paraId="37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S – площадь земельного участка;</w:t>
      </w:r>
    </w:p>
    <w:p w14:paraId="38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C – ставка арендной платы, указанная в пункте 4 настоящего Положения.»;</w:t>
      </w:r>
    </w:p>
    <w:p w14:paraId="39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 Дополнить пунктом 3.1 следующего содержания: </w:t>
      </w:r>
    </w:p>
    <w:p w14:paraId="3A000000">
      <w:pPr>
        <w:pStyle w:val="Style_4"/>
        <w:widowControl w:val="1"/>
        <w:spacing w:after="0" w:line="288" w:lineRule="atLeast"/>
        <w:ind w:firstLine="540"/>
        <w:jc w:val="both"/>
        <w:rPr>
          <w:color w:val="000000"/>
          <w:sz w:val="26"/>
        </w:rPr>
      </w:pPr>
      <w:r>
        <w:rPr>
          <w:color w:val="000000"/>
          <w:sz w:val="26"/>
        </w:rPr>
        <w:t>«3.1.</w:t>
      </w:r>
      <w:r>
        <w:rPr>
          <w:color w:val="000000"/>
          <w:sz w:val="26"/>
        </w:rPr>
        <w:t> </w:t>
      </w:r>
      <w:r>
        <w:rPr>
          <w:color w:val="000000"/>
          <w:sz w:val="26"/>
        </w:rPr>
        <w:t xml:space="preserve">Ставка арендной платы для случаев, предусмотренных абзацами вторым-четвертым подпункта 2 пункта 3 настоящего Порядка, устанавливается с даты подачи заявления физического или юридического лица </w:t>
      </w:r>
      <w:r>
        <w:rPr>
          <w:color w:val="000000"/>
          <w:sz w:val="26"/>
        </w:rPr>
        <w:t xml:space="preserve">с приложением копий документов, подтверждающих </w:t>
      </w:r>
      <w:r>
        <w:rPr>
          <w:color w:val="000000"/>
          <w:sz w:val="26"/>
        </w:rPr>
        <w:t xml:space="preserve">право на освобождение от уплаты земельного налога </w:t>
      </w:r>
      <w:r>
        <w:rPr>
          <w:color w:val="000000"/>
          <w:sz w:val="26"/>
        </w:rPr>
        <w:t>в соответствии с законодательством о налогах и сборах, право на уменьшение налоговой базы при уплате земельного налога в соответствии с законодательством о</w:t>
      </w:r>
      <w:r>
        <w:rPr>
          <w:color w:val="000000"/>
          <w:sz w:val="26"/>
        </w:rPr>
        <w:t> </w:t>
      </w:r>
      <w:r>
        <w:rPr>
          <w:color w:val="000000"/>
          <w:sz w:val="26"/>
        </w:rPr>
        <w:t>налогах и сборах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в Департамент имущественных, земельных отношений 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и градостроительства Ненецкого автономного округа.»;</w:t>
      </w:r>
    </w:p>
    <w:p w14:paraId="3B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 Пункты 9, 10 изложить в следующей редакции:</w:t>
      </w:r>
    </w:p>
    <w:p w14:paraId="3C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«9.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При заключении договора аренды земельного участка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нем предусматриваются случаи и периодичность изменения арендной платы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за пользование земельным участком. При этом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период.</w:t>
      </w:r>
    </w:p>
    <w:p w14:paraId="3D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Коэффициент инфляции устанавливается единым для всех арендаторов </w:t>
      </w:r>
      <w:r>
        <w:rPr>
          <w:rFonts w:ascii="Times New Roman" w:hAnsi="Times New Roman"/>
          <w:color w:val="000000"/>
          <w:sz w:val="26"/>
        </w:rPr>
        <w:br/>
      </w:r>
      <w:bookmarkStart w:id="1" w:name="_GoBack"/>
      <w:bookmarkEnd w:id="1"/>
      <w:r>
        <w:rPr>
          <w:rFonts w:ascii="Times New Roman" w:hAnsi="Times New Roman"/>
          <w:color w:val="000000"/>
          <w:sz w:val="26"/>
        </w:rPr>
        <w:t>и изменяется ежегодно по состоянию на начало очередного финансового года путём перемножения ежегодных зна</w:t>
      </w:r>
      <w:r>
        <w:rPr>
          <w:rFonts w:ascii="Times New Roman" w:hAnsi="Times New Roman"/>
          <w:color w:val="000000"/>
          <w:sz w:val="26"/>
        </w:rPr>
        <w:t>чений уровня инфляции, начиная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со второго года применения результатов очередной государственной кадастровой оценки</w:t>
      </w:r>
      <w:r>
        <w:rPr>
          <w:rFonts w:ascii="Times New Roman" w:hAnsi="Times New Roman"/>
          <w:color w:val="000000"/>
          <w:sz w:val="26"/>
        </w:rPr>
        <w:t>.</w:t>
      </w:r>
    </w:p>
    <w:p w14:paraId="3E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10.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При заключении договора аренды земельного участка, в соответствии с которым арендная плата рассчитана на основании кадастровой стоимости земельного участка, в таком договоре предусматривается возможность изменения арендной платы в связи с изменением кадастровой стоимости земельного участка. При этом арендная плата подлежит перерасчету в соответствии с Федеральным законом от 03.07.2016 № 237-ФЗ «О государ</w:t>
      </w:r>
      <w:r>
        <w:rPr>
          <w:rFonts w:ascii="Times New Roman" w:hAnsi="Times New Roman"/>
          <w:color w:val="000000"/>
          <w:sz w:val="26"/>
        </w:rPr>
        <w:t xml:space="preserve">ственной кадастровой оценке». </w:t>
      </w:r>
      <w:r>
        <w:rPr>
          <w:rFonts w:ascii="Times New Roman" w:hAnsi="Times New Roman"/>
          <w:color w:val="000000"/>
          <w:sz w:val="26"/>
        </w:rPr>
        <w:t>В случае изменения кадастровой стоимости земельного участка по результатам очередной государственной кадастровой оценки индексация арендной платы с учетом размера уровня инфляции, указанного в пункте 9 настоящего Порядка, проводится начиная со второго года применения результатов очередной государственной кадастровой оценки.</w:t>
      </w:r>
    </w:p>
    <w:p w14:paraId="3F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случае заключения договора аренды в третий и последующие годы применения результатов очередной государственной кадастровой оценки арендная плата рассчитывается с учетом ежегодной индексации на размер уровня инфляции, указанного в пункте 9 настоящего Порядка, начиная со второго года применения результатов очередной государственной кадастровой оценки.».</w:t>
      </w:r>
    </w:p>
    <w:p w14:paraId="4000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</w:p>
    <w:p w14:paraId="4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>_________</w:t>
      </w:r>
    </w:p>
    <w:sectPr>
      <w:headerReference r:id="rId2" w:type="default"/>
      <w:headerReference r:id="rId3" w:type="first"/>
      <w:headerReference r:id="rId1" w:type="even"/>
      <w:pgSz w:h="16838" w:orient="portrait" w:w="11906"/>
      <w:pgMar w:bottom="1134" w:footer="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Содержимое врезки (user)"/>
    <w:basedOn w:val="Style_5"/>
    <w:link w:val="Style_12_ch"/>
  </w:style>
  <w:style w:styleId="Style_12_ch" w:type="character">
    <w:name w:val="Содержимое врезки (user)"/>
    <w:basedOn w:val="Style_5_ch"/>
    <w:link w:val="Style_12"/>
  </w:style>
  <w:style w:styleId="Style_13" w:type="paragraph">
    <w:name w:val="ConsPlusTitle"/>
    <w:link w:val="Style_13_ch"/>
    <w:pPr>
      <w:widowControl w:val="0"/>
      <w:ind/>
    </w:pPr>
    <w:rPr>
      <w:b w:val="1"/>
      <w:sz w:val="22"/>
    </w:rPr>
  </w:style>
  <w:style w:styleId="Style_13_ch" w:type="character">
    <w:name w:val="ConsPlusTitle"/>
    <w:link w:val="Style_13"/>
    <w:rPr>
      <w:b w:val="1"/>
      <w:sz w:val="22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Заголовок (user)"/>
    <w:basedOn w:val="Style_5"/>
    <w:next w:val="Style_17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5_ch"/>
    <w:link w:val="Style_16"/>
    <w:rPr>
      <w:rFonts w:ascii="PT Astra Serif" w:hAnsi="PT Astra Serif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ConsPlusNormal"/>
    <w:link w:val="Style_19_ch"/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aption"/>
    <w:basedOn w:val="Style_5"/>
    <w:link w:val="Style_2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5_ch"/>
    <w:link w:val="Style_21"/>
    <w:rPr>
      <w:rFonts w:ascii="PT Astra Serif" w:hAnsi="PT Astra Serif"/>
      <w:i w:val="1"/>
      <w:sz w:val="24"/>
    </w:rPr>
  </w:style>
  <w:style w:styleId="Style_22" w:type="paragraph">
    <w:name w:val="List Paragraph"/>
    <w:basedOn w:val="Style_5"/>
    <w:link w:val="Style_22_ch"/>
    <w:pPr>
      <w:widowControl w:val="1"/>
      <w:spacing w:after="160" w:line="259" w:lineRule="auto"/>
      <w:ind w:left="720"/>
      <w:contextualSpacing w:val="1"/>
    </w:pPr>
    <w:rPr>
      <w:rFonts w:asciiTheme="minorAscii" w:hAnsiTheme="minorHAnsi"/>
    </w:rPr>
  </w:style>
  <w:style w:styleId="Style_22_ch" w:type="character">
    <w:name w:val="List Paragraph"/>
    <w:basedOn w:val="Style_5_ch"/>
    <w:link w:val="Style_22"/>
    <w:rPr>
      <w:rFonts w:asciiTheme="minorAscii" w:hAnsiTheme="minorHAnsi"/>
    </w:rPr>
  </w:style>
  <w:style w:styleId="Style_23" w:type="paragraph">
    <w:name w:val="line number"/>
    <w:basedOn w:val="Style_24"/>
    <w:link w:val="Style_23_ch"/>
  </w:style>
  <w:style w:styleId="Style_23_ch" w:type="character">
    <w:name w:val="line number"/>
    <w:basedOn w:val="Style_24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List"/>
    <w:basedOn w:val="Style_17"/>
    <w:link w:val="Style_26_ch"/>
    <w:rPr>
      <w:rFonts w:ascii="PT Astra Serif" w:hAnsi="PT Astra Serif"/>
    </w:rPr>
  </w:style>
  <w:style w:styleId="Style_26_ch" w:type="character">
    <w:name w:val="List"/>
    <w:basedOn w:val="Style_17_ch"/>
    <w:link w:val="Style_26"/>
    <w:rPr>
      <w:rFonts w:ascii="PT Astra Serif" w:hAnsi="PT Astra Serif"/>
    </w:rPr>
  </w:style>
  <w:style w:styleId="Style_27" w:type="paragraph">
    <w:name w:val="heading 1"/>
    <w:next w:val="Style_5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ConsPlusCell"/>
    <w:link w:val="Style_28_ch"/>
    <w:pPr>
      <w:widowControl w:val="0"/>
      <w:ind/>
    </w:pPr>
    <w:rPr>
      <w:sz w:val="22"/>
    </w:rPr>
  </w:style>
  <w:style w:styleId="Style_28_ch" w:type="character">
    <w:name w:val="ConsPlusCell"/>
    <w:link w:val="Style_28"/>
    <w:rPr>
      <w:sz w:val="2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apple-converted-space"/>
    <w:basedOn w:val="Style_24"/>
    <w:link w:val="Style_32_ch"/>
  </w:style>
  <w:style w:styleId="Style_32_ch" w:type="character">
    <w:name w:val="apple-converted-space"/>
    <w:basedOn w:val="Style_24_ch"/>
    <w:link w:val="Style_32"/>
  </w:style>
  <w:style w:styleId="Style_33" w:type="paragraph">
    <w:name w:val="Header and Footer"/>
    <w:basedOn w:val="Style_5"/>
    <w:link w:val="Style_33_ch"/>
  </w:style>
  <w:style w:styleId="Style_33_ch" w:type="character">
    <w:name w:val="Header and Footer"/>
    <w:basedOn w:val="Style_5_ch"/>
    <w:link w:val="Style_33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4" w:type="paragraph">
    <w:name w:val="index heading"/>
    <w:basedOn w:val="Style_5"/>
    <w:link w:val="Style_34_ch"/>
    <w:rPr>
      <w:rFonts w:ascii="PT Astra Serif" w:hAnsi="PT Astra Serif"/>
    </w:rPr>
  </w:style>
  <w:style w:styleId="Style_34_ch" w:type="character">
    <w:name w:val="index heading"/>
    <w:basedOn w:val="Style_5_ch"/>
    <w:link w:val="Style_34"/>
    <w:rPr>
      <w:rFonts w:ascii="PT Astra Serif" w:hAnsi="PT Astra Serif"/>
    </w:rPr>
  </w:style>
  <w:style w:styleId="Style_35" w:type="paragraph">
    <w:name w:val="toc 9"/>
    <w:next w:val="Style_5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17" w:type="paragraph">
    <w:name w:val="Body Text"/>
    <w:basedOn w:val="Style_5"/>
    <w:link w:val="Style_17_ch"/>
    <w:pPr>
      <w:widowControl w:val="1"/>
      <w:spacing w:after="140"/>
      <w:ind/>
    </w:pPr>
  </w:style>
  <w:style w:styleId="Style_17_ch" w:type="character">
    <w:name w:val="Body Text"/>
    <w:basedOn w:val="Style_5_ch"/>
    <w:link w:val="Style_17"/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36" w:type="paragraph">
    <w:name w:val="toc 8"/>
    <w:next w:val="Style_5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9" w:type="paragraph">
    <w:name w:val="annotation text"/>
    <w:basedOn w:val="Style_5"/>
    <w:link w:val="Style_9_ch"/>
    <w:pPr>
      <w:widowControl w:val="1"/>
      <w:spacing w:line="240" w:lineRule="auto"/>
      <w:ind/>
    </w:pPr>
    <w:rPr>
      <w:sz w:val="20"/>
    </w:rPr>
  </w:style>
  <w:style w:styleId="Style_9_ch" w:type="character">
    <w:name w:val="annotation text"/>
    <w:basedOn w:val="Style_5_ch"/>
    <w:link w:val="Style_9"/>
    <w:rPr>
      <w:sz w:val="20"/>
    </w:rPr>
  </w:style>
  <w:style w:styleId="Style_3" w:type="paragraph">
    <w:name w:val="Body Text Indent 2"/>
    <w:basedOn w:val="Style_5"/>
    <w:link w:val="Style_3_ch"/>
    <w:pPr>
      <w:widowControl w:val="1"/>
      <w:spacing w:after="480" w:line="240" w:lineRule="auto"/>
      <w:ind w:firstLine="1134"/>
      <w:jc w:val="both"/>
    </w:pPr>
    <w:rPr>
      <w:rFonts w:ascii="Times New Roman" w:hAnsi="Times New Roman"/>
      <w:sz w:val="28"/>
    </w:rPr>
  </w:style>
  <w:style w:styleId="Style_3_ch" w:type="character">
    <w:name w:val="Body Text Indent 2"/>
    <w:basedOn w:val="Style_5_ch"/>
    <w:link w:val="Style_3"/>
    <w:rPr>
      <w:rFonts w:ascii="Times New Roman" w:hAnsi="Times New Roman"/>
      <w:sz w:val="28"/>
    </w:rPr>
  </w:style>
  <w:style w:styleId="Style_37" w:type="paragraph">
    <w:name w:val="Balloon Text"/>
    <w:basedOn w:val="Style_5"/>
    <w:link w:val="Style_3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Placeholder Text"/>
    <w:link w:val="Style_38_ch"/>
    <w:rPr>
      <w:color w:val="808080"/>
    </w:rPr>
  </w:style>
  <w:style w:styleId="Style_38_ch" w:type="character">
    <w:name w:val="Placeholder Text"/>
    <w:link w:val="Style_38"/>
    <w:rPr>
      <w:color w:val="808080"/>
    </w:rPr>
  </w:style>
  <w:style w:styleId="Style_39" w:type="paragraph">
    <w:name w:val="Указатель (user)"/>
    <w:basedOn w:val="Style_5"/>
    <w:link w:val="Style_39_ch"/>
    <w:rPr>
      <w:rFonts w:ascii="PT Astra Serif" w:hAnsi="PT Astra Serif"/>
    </w:rPr>
  </w:style>
  <w:style w:styleId="Style_39_ch" w:type="character">
    <w:name w:val="Указатель (user)"/>
    <w:basedOn w:val="Style_5_ch"/>
    <w:link w:val="Style_39"/>
    <w:rPr>
      <w:rFonts w:ascii="PT Astra Serif" w:hAnsi="PT Astra Serif"/>
    </w:rPr>
  </w:style>
  <w:style w:styleId="Style_40" w:type="paragraph">
    <w:name w:val="toc 5"/>
    <w:next w:val="Style_5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2" w:type="paragraph">
    <w:name w:val="Содержимое врезки"/>
    <w:basedOn w:val="Style_5"/>
    <w:link w:val="Style_2_ch"/>
  </w:style>
  <w:style w:styleId="Style_2_ch" w:type="character">
    <w:name w:val="Содержимое врезки"/>
    <w:basedOn w:val="Style_5_ch"/>
    <w:link w:val="Style_2"/>
  </w:style>
  <w:style w:styleId="Style_41" w:type="paragraph">
    <w:name w:val="annotation reference"/>
    <w:basedOn w:val="Style_24"/>
    <w:link w:val="Style_41_ch"/>
    <w:rPr>
      <w:sz w:val="16"/>
    </w:rPr>
  </w:style>
  <w:style w:styleId="Style_41_ch" w:type="character">
    <w:name w:val="annotation reference"/>
    <w:basedOn w:val="Style_24_ch"/>
    <w:link w:val="Style_41"/>
    <w:rPr>
      <w:sz w:val="16"/>
    </w:rPr>
  </w:style>
  <w:style w:styleId="Style_42" w:type="paragraph">
    <w:name w:val="Subtitle"/>
    <w:next w:val="Style_5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basedOn w:val="Style_5"/>
    <w:next w:val="Style_17"/>
    <w:link w:val="Style_43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Title"/>
    <w:basedOn w:val="Style_5_ch"/>
    <w:link w:val="Style_43"/>
    <w:rPr>
      <w:rFonts w:ascii="PT Astra Serif" w:hAnsi="PT Astra Serif"/>
      <w:sz w:val="28"/>
    </w:rPr>
  </w:style>
  <w:style w:styleId="Style_44" w:type="paragraph">
    <w:name w:val="heading 4"/>
    <w:next w:val="Style_5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footer"/>
    <w:basedOn w:val="Style_5"/>
    <w:link w:val="Style_45_ch"/>
    <w:pPr>
      <w:widowControl w:val="1"/>
      <w:tabs>
        <w:tab w:leader="none" w:pos="4677" w:val="center"/>
        <w:tab w:leader="none" w:pos="9355" w:val="right"/>
      </w:tabs>
      <w:ind/>
    </w:pPr>
  </w:style>
  <w:style w:styleId="Style_45_ch" w:type="character">
    <w:name w:val="footer"/>
    <w:basedOn w:val="Style_5_ch"/>
    <w:link w:val="Style_45"/>
  </w:style>
  <w:style w:styleId="Style_46" w:type="paragraph">
    <w:name w:val="heading 2"/>
    <w:next w:val="Style_5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table">
    <w:name w:val="Table Grid"/>
    <w:basedOn w:val="Style_48"/>
    <w:pPr>
      <w:widowControl w:val="1"/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2026-03-30T13:43:34Z</dcterms:created>
  <dcterms:modified xsi:type="dcterms:W3CDTF">2026-03-30T13:43:34Z</dcterms:modified>
</cp:coreProperties>
</file>