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510" w:leader="none"/>
        </w:tabs>
        <w:bidi w:val="0"/>
        <w:spacing w:lineRule="auto" w:line="240" w:before="0" w:after="0"/>
        <w:ind w:hanging="0" w:start="0" w:end="0"/>
        <w:jc w:val="center"/>
        <w:outlineLvl w:val="0"/>
        <w:rPr>
          <w:rFonts w:ascii="Times New Roman" w:hAnsi="Times New Roman"/>
          <w:b/>
          <w:sz w:val="28"/>
        </w:rPr>
      </w:pPr>
      <w:r>
        <w:rPr/>
        <w:drawing>
          <wp:inline distT="0" distB="0" distL="0" distR="0">
            <wp:extent cx="612140" cy="739775"/>
            <wp:effectExtent l="0" t="0" r="0" b="0"/>
            <wp:docPr id="1" name="Pictur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Ненецкого автономного округа</w:t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</w:t>
      </w:r>
      <w:r>
        <w:rPr>
          <w:rFonts w:ascii="Times New Roman" w:hAnsi="Times New Roman"/>
          <w:sz w:val="28"/>
        </w:rPr>
        <w:t>апреля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 № ___-п</w:t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Нарьян-Мар</w:t>
      </w:r>
    </w:p>
    <w:p>
      <w:pPr>
        <w:pStyle w:val="Normal"/>
        <w:widowControl/>
        <w:bidi w:val="0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bidi w:val="0"/>
        <w:spacing w:lineRule="auto" w:line="240" w:before="0" w:after="0"/>
        <w:ind w:hanging="0" w:start="993" w:end="127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  <w:br/>
        <w:t xml:space="preserve">Администрации Ненецкого автономного округа </w:t>
        <w:br/>
        <w:t>от 02.11.2022 № 303-п</w:t>
      </w:r>
    </w:p>
    <w:p>
      <w:pPr>
        <w:pStyle w:val="Normal"/>
        <w:widowControl w:val="false"/>
        <w:bidi w:val="0"/>
        <w:spacing w:lineRule="auto" w:line="240" w:before="0" w:after="0"/>
        <w:ind w:hanging="0" w:start="1134" w:end="113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bidi w:val="0"/>
        <w:spacing w:lineRule="auto" w:line="240" w:before="0" w:after="0"/>
        <w:ind w:hanging="0" w:start="1134" w:end="113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bidi w:val="0"/>
        <w:spacing w:lineRule="auto" w:line="240" w:before="0" w:after="0"/>
        <w:ind w:firstLine="708" w:start="0" w:end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со</w:t>
      </w:r>
      <w:r>
        <w:rPr>
          <w:rFonts w:ascii="Times New Roman" w:hAnsi="Times New Roman"/>
          <w:color w:val="000000"/>
          <w:sz w:val="26"/>
        </w:rPr>
        <w:t xml:space="preserve"> статьей 78</w:t>
      </w:r>
      <w:r>
        <w:rPr>
          <w:rFonts w:ascii="Times New Roman" w:hAnsi="Times New Roman"/>
          <w:sz w:val="26"/>
        </w:rPr>
        <w:t xml:space="preserve"> Бюджетного кодекса Российской Федерации, постановлением Правительства Российской Федерации от 25.10.2023 № 1782 </w:t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‒ производителям товаров, работ, услуг и проведение отборов получателей указанных субсидий, в том числе грантов в форме субсидий», в</w:t>
      </w:r>
      <w:r>
        <w:rPr>
          <w:color w:val="22272F"/>
          <w:sz w:val="23"/>
          <w:shd w:fill="FFFFFF" w:val="clear"/>
        </w:rPr>
        <w:t xml:space="preserve"> </w:t>
      </w:r>
      <w:r>
        <w:rPr>
          <w:rFonts w:ascii="Times New Roman" w:hAnsi="Times New Roman"/>
          <w:sz w:val="26"/>
        </w:rPr>
        <w:t>целях реализации </w:t>
      </w:r>
      <w:r>
        <w:fldChar w:fldCharType="begin"/>
      </w:r>
      <w:r>
        <w:rPr>
          <w:rStyle w:val="Style"/>
          <w:sz w:val="26"/>
          <w:rFonts w:ascii="Times New Roman" w:hAnsi="Times New Roman"/>
        </w:rPr>
        <w:instrText xml:space="preserve"> HYPERLINK "https://internet.garant.ru/" \l "/document/33501069/entry/10000"</w:instrText>
      </w:r>
      <w:r>
        <w:rPr>
          <w:rStyle w:val="Style"/>
          <w:sz w:val="26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sz w:val="26"/>
        </w:rPr>
        <w:t>государственной программы</w:t>
      </w:r>
      <w:r>
        <w:rPr>
          <w:rStyle w:val="Style"/>
          <w:sz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</w:rPr>
        <w:t> Ненецкого автономного округа «Развитие инвестиционной деятельности, предпринимательства и туризма в Ненецком автономном округе», утвержденной </w:t>
      </w:r>
      <w:r>
        <w:fldChar w:fldCharType="begin"/>
      </w:r>
      <w:r>
        <w:rPr>
          <w:rStyle w:val="Style"/>
          <w:sz w:val="26"/>
          <w:rFonts w:ascii="Times New Roman" w:hAnsi="Times New Roman"/>
        </w:rPr>
        <w:instrText xml:space="preserve"> HYPERLINK "https://internet.garant.ru/" \l "/document/33501069/entry/0"</w:instrText>
      </w:r>
      <w:r>
        <w:rPr>
          <w:rStyle w:val="Style"/>
          <w:sz w:val="26"/>
          <w:rFonts w:ascii="Times New Roman" w:hAnsi="Times New Roman"/>
        </w:rPr>
        <w:fldChar w:fldCharType="separate"/>
      </w:r>
      <w:r>
        <w:rPr>
          <w:rStyle w:val="Style"/>
          <w:rFonts w:ascii="Times New Roman" w:hAnsi="Times New Roman"/>
          <w:sz w:val="26"/>
        </w:rPr>
        <w:t>постановлением</w:t>
      </w:r>
      <w:r>
        <w:rPr>
          <w:rStyle w:val="Style"/>
          <w:sz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</w:rPr>
        <w:t> Администрации Ненецкого автономного округа от 26.06.2014 № 223-п, Администрация Ненецкого автономного округа ПОСТАНОВЛЯЕТ:</w:t>
      </w:r>
    </w:p>
    <w:p>
      <w:pPr>
        <w:pStyle w:val="Normal"/>
        <w:widowControl/>
        <w:bidi w:val="0"/>
        <w:spacing w:lineRule="auto" w:line="240" w:before="0" w:after="0"/>
        <w:ind w:firstLine="708" w:start="0" w:end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Внести изменения в Поряд</w:t>
      </w:r>
      <w:r>
        <w:rPr>
          <w:rFonts w:ascii="Times New Roman" w:hAnsi="Times New Roman"/>
          <w:sz w:val="26"/>
        </w:rPr>
        <w:t>ок</w:t>
      </w:r>
      <w:r>
        <w:rPr>
          <w:rFonts w:ascii="Times New Roman" w:hAnsi="Times New Roman"/>
          <w:sz w:val="26"/>
        </w:rPr>
        <w:t xml:space="preserve"> предоставления грантов в форме субсидий </w:t>
        <w:br/>
        <w:t xml:space="preserve">на развитие туристской инфраструктуры в Ненецком автономном округе, </w:t>
      </w:r>
      <w:r>
        <w:rPr>
          <w:rFonts w:ascii="Times New Roman" w:hAnsi="Times New Roman"/>
          <w:sz w:val="26"/>
        </w:rPr>
        <w:t>утвержденный</w:t>
      </w:r>
      <w:r>
        <w:rPr>
          <w:rFonts w:ascii="Times New Roman" w:hAnsi="Times New Roman"/>
          <w:sz w:val="26"/>
        </w:rPr>
        <w:t xml:space="preserve"> постановление</w:t>
      </w:r>
      <w:r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sz w:val="26"/>
        </w:rPr>
        <w:t xml:space="preserve"> Администрации Ненецкого автономного округа </w:t>
        <w:br/>
        <w:t xml:space="preserve">от 02.11.2022 № 303-п (с изменениями, внесенными постановлением Администрации Ненецкого автономного округа от </w:t>
      </w:r>
      <w:r>
        <w:rPr>
          <w:rFonts w:ascii="Times New Roman" w:hAnsi="Times New Roman"/>
          <w:sz w:val="26"/>
        </w:rPr>
        <w:t>29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№ </w:t>
      </w:r>
      <w:r>
        <w:rPr>
          <w:rFonts w:ascii="Times New Roman" w:hAnsi="Times New Roman"/>
          <w:sz w:val="26"/>
        </w:rPr>
        <w:t>370</w:t>
      </w:r>
      <w:r>
        <w:rPr>
          <w:rFonts w:ascii="Times New Roman" w:hAnsi="Times New Roman"/>
          <w:sz w:val="26"/>
        </w:rPr>
        <w:t xml:space="preserve">-п) </w:t>
      </w:r>
      <w:r>
        <w:rPr>
          <w:rFonts w:ascii="Times New Roman" w:hAnsi="Times New Roman"/>
          <w:sz w:val="26"/>
        </w:rPr>
        <w:t>согласно Приложению.</w:t>
      </w:r>
    </w:p>
    <w:p>
      <w:pPr>
        <w:pStyle w:val="ListParagraph1"/>
        <w:widowControl/>
        <w:tabs>
          <w:tab w:val="clear" w:pos="709"/>
          <w:tab w:val="left" w:pos="993" w:leader="none"/>
        </w:tabs>
        <w:bidi w:val="0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 Настоящее постановление вступает в силу со дня его </w:t>
      </w:r>
      <w:r>
        <w:rPr>
          <w:rFonts w:ascii="Times New Roman" w:hAnsi="Times New Roman"/>
          <w:color w:val="000000"/>
          <w:sz w:val="26"/>
        </w:rPr>
        <w:t xml:space="preserve">официального </w:t>
      </w:r>
      <w:r>
        <w:rPr>
          <w:rFonts w:ascii="Times New Roman" w:hAnsi="Times New Roman"/>
          <w:color w:val="000000"/>
          <w:spacing w:val="-4"/>
          <w:sz w:val="26"/>
        </w:rPr>
        <w:t>опубликования</w:t>
      </w:r>
      <w:r>
        <w:rPr>
          <w:rFonts w:ascii="Times New Roman" w:hAnsi="Times New Roman"/>
          <w:spacing w:val="-4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убернатор </w:t>
      </w:r>
    </w:p>
    <w:p>
      <w:pPr>
        <w:sectPr>
          <w:type w:val="nextPage"/>
          <w:pgSz w:w="11906" w:h="16838"/>
          <w:pgMar w:left="1733" w:right="567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widowControl/>
        <w:bidi w:val="0"/>
        <w:spacing w:lineRule="auto" w:line="240" w:before="0"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Ненецкого автономного округа</w:t>
        <w:tab/>
        <w:tab/>
        <w:tab/>
        <w:tab/>
        <w:t xml:space="preserve">                                            И.А. Гехт</w:t>
      </w:r>
      <w:r>
        <w:br w:type="page"/>
      </w:r>
    </w:p>
    <w:p>
      <w:pPr>
        <w:pStyle w:val="ConsPlusNormal1"/>
        <w:widowControl/>
        <w:numPr>
          <w:ilvl w:val="0"/>
          <w:numId w:val="0"/>
        </w:numPr>
        <w:ind w:hanging="0" w:start="5103" w:end="0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</w:t>
      </w:r>
    </w:p>
    <w:p>
      <w:pPr>
        <w:pStyle w:val="ConsPlusNormal1"/>
        <w:widowControl/>
        <w:numPr>
          <w:ilvl w:val="0"/>
          <w:numId w:val="0"/>
        </w:numPr>
        <w:ind w:hanging="0" w:start="5103" w:end="0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>
      <w:pPr>
        <w:pStyle w:val="ConsPlusNormal1"/>
        <w:widowControl/>
        <w:numPr>
          <w:ilvl w:val="0"/>
          <w:numId w:val="0"/>
        </w:numPr>
        <w:ind w:hanging="0" w:start="5103" w:end="0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Ненецкого автономного округа</w:t>
      </w:r>
    </w:p>
    <w:p>
      <w:pPr>
        <w:pStyle w:val="ConsPlusNormal1"/>
        <w:widowControl/>
        <w:numPr>
          <w:ilvl w:val="0"/>
          <w:numId w:val="0"/>
        </w:numPr>
        <w:ind w:hanging="0" w:start="5103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___.0</w:t>
      </w: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>202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№ ___–п</w:t>
      </w:r>
    </w:p>
    <w:p>
      <w:pPr>
        <w:pStyle w:val="ConsPlusNormal1"/>
        <w:widowControl/>
        <w:numPr>
          <w:ilvl w:val="0"/>
          <w:numId w:val="0"/>
        </w:numPr>
        <w:ind w:hanging="0" w:start="5103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 внесении изменений </w:t>
        <w:br/>
        <w:t xml:space="preserve">в постановление Администрации Ненецкого автономного округа </w:t>
        <w:br/>
        <w:t>от 02.11.2022 № 303-п»</w:t>
      </w:r>
    </w:p>
    <w:p>
      <w:pPr>
        <w:pStyle w:val="ConsPlusNormal1"/>
        <w:widowControl/>
        <w:ind w:hanging="0" w:start="0"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nsPlusNormal1"/>
        <w:widowControl/>
        <w:ind w:hanging="0" w:start="0"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nsPlusNormal1"/>
        <w:widowControl/>
        <w:ind w:hanging="0" w:start="0"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nsPlusNormal1"/>
        <w:widowControl/>
        <w:ind w:hanging="0" w:start="0"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nsPlusNormal1"/>
        <w:widowControl/>
        <w:ind w:hanging="0" w:start="0"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nsPlusNormal1"/>
        <w:widowControl/>
        <w:ind w:hanging="0" w:start="0" w:end="-1"/>
        <w:jc w:val="center"/>
        <w:rPr>
          <w:rFonts w:ascii="Times New Roman" w:hAnsi="Times New Roman"/>
          <w:b/>
          <w:sz w:val="26"/>
        </w:rPr>
      </w:pPr>
      <w:bookmarkStart w:id="0" w:name="Par34"/>
      <w:bookmarkEnd w:id="0"/>
      <w:r>
        <w:rPr>
          <w:rFonts w:ascii="Times New Roman" w:hAnsi="Times New Roman"/>
          <w:b/>
          <w:sz w:val="26"/>
        </w:rPr>
        <w:t xml:space="preserve">Изменения в </w:t>
      </w:r>
      <w:r>
        <w:rPr>
          <w:rFonts w:ascii="Times New Roman" w:hAnsi="Times New Roman"/>
          <w:b/>
          <w:sz w:val="26"/>
        </w:rPr>
        <w:t>Порядок</w:t>
      </w:r>
    </w:p>
    <w:p>
      <w:pPr>
        <w:pStyle w:val="ConsPlusNormal1"/>
        <w:widowControl/>
        <w:ind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предоставления грантов в форме субсидий</w:t>
        <w:br/>
        <w:t xml:space="preserve">на развитие туристской инфраструктуры </w:t>
        <w:br/>
        <w:t>в Ненецком автономном округе</w:t>
      </w:r>
    </w:p>
    <w:p>
      <w:pPr>
        <w:pStyle w:val="ConsPlusNormal1"/>
        <w:widowControl/>
        <w:ind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nsPlusNormal1"/>
        <w:widowControl/>
        <w:ind w:end="-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z w:val="26"/>
        </w:rPr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z w:val="26"/>
        </w:rPr>
        <w:t xml:space="preserve">1. </w:t>
      </w:r>
      <w:r>
        <w:rPr>
          <w:rFonts w:ascii="Times New Roman" w:hAnsi="Times New Roman"/>
          <w:b w:val="false"/>
          <w:bCs w:val="false"/>
          <w:sz w:val="26"/>
        </w:rPr>
        <w:t>Пункт 8 изложить в следующей реакции: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z w:val="26"/>
        </w:rPr>
        <w:t>«</w:t>
      </w:r>
      <w:r>
        <w:rPr>
          <w:rFonts w:ascii="Times New Roman" w:hAnsi="Times New Roman"/>
          <w:b w:val="false"/>
          <w:bCs w:val="false"/>
          <w:sz w:val="26"/>
        </w:rPr>
        <w:t>Информация</w:t>
      </w:r>
      <w:r>
        <w:rPr>
          <w:rStyle w:val="Style23"/>
          <w:rFonts w:ascii="Times New Roman" w:hAnsi="Times New Roman"/>
          <w:b w:val="false"/>
          <w:bCs w:val="false"/>
          <w:sz w:val="26"/>
        </w:rPr>
        <w:t xml:space="preserve"> о субсидиях размещаются на едином портале бюджетной сис</w:t>
      </w:r>
      <w:r>
        <w:rPr>
          <w:rStyle w:val="Style23"/>
          <w:rFonts w:eastAsia="Noto Serif CJK SC" w:cs="FreeSans" w:ascii="Times New Roman" w:hAnsi="Times New Roman"/>
          <w:b w:val="false"/>
          <w:bCs w:val="false"/>
          <w:color w:val="000000"/>
          <w:spacing w:val="0"/>
          <w:kern w:val="0"/>
          <w:sz w:val="26"/>
          <w:szCs w:val="20"/>
          <w:lang w:val="ru-RU" w:eastAsia="zh-CN" w:bidi="hi-IN"/>
        </w:rPr>
        <w:t xml:space="preserve">темы Российской Федерации в информационно-телекоммуникационной сети «Интернет» (далее </w:t>
      </w:r>
      <w:r>
        <w:rPr>
          <w:rStyle w:val="Style23"/>
          <w:rFonts w:eastAsia="Noto Serif CJK SC" w:cs="FreeSans" w:ascii="Times New Roman" w:hAnsi="Times New Roman"/>
          <w:b w:val="false"/>
          <w:bCs w:val="false"/>
          <w:i/>
          <w:iCs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–</w:t>
      </w:r>
      <w:r>
        <w:rPr>
          <w:rStyle w:val="Style23"/>
          <w:rFonts w:eastAsia="Noto Serif CJK SC" w:cs="FreeSans" w:ascii="Times New Roman" w:hAnsi="Times New Roman"/>
          <w:b w:val="false"/>
          <w:bCs w:val="false"/>
          <w:color w:val="000000"/>
          <w:spacing w:val="0"/>
          <w:kern w:val="0"/>
          <w:sz w:val="26"/>
          <w:szCs w:val="20"/>
          <w:lang w:val="ru-RU" w:eastAsia="zh-CN" w:bidi="hi-IN"/>
        </w:rPr>
        <w:t xml:space="preserve"> единый портал), в порядке, установленном Министерством финансов Российской Федерации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z w:val="26"/>
        </w:rPr>
        <w:t>2</w:t>
      </w:r>
      <w:r>
        <w:rPr>
          <w:rFonts w:ascii="Times New Roman" w:hAnsi="Times New Roman"/>
          <w:b w:val="false"/>
          <w:bCs w:val="false"/>
          <w:sz w:val="26"/>
        </w:rPr>
        <w:t xml:space="preserve">. </w:t>
      </w:r>
      <w:r>
        <w:rPr>
          <w:rFonts w:ascii="Times New Roman" w:hAnsi="Times New Roman"/>
          <w:b w:val="false"/>
          <w:bCs w:val="false"/>
          <w:sz w:val="26"/>
        </w:rPr>
        <w:t>В абзаце втором пункта 9 слова «в подпункте 5 пункта 24» заменить словами «</w:t>
      </w:r>
      <w:r>
        <w:rPr>
          <w:rFonts w:ascii="Times New Roman" w:hAnsi="Times New Roman"/>
          <w:b w:val="false"/>
          <w:bCs w:val="false"/>
          <w:spacing w:val="-4"/>
          <w:sz w:val="26"/>
        </w:rPr>
        <w:t>в подпун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lang w:val="ru-RU" w:eastAsia="zh-CN" w:bidi="hi-IN"/>
        </w:rPr>
        <w:t>кте 7 пункта 27».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lang w:val="ru-RU" w:eastAsia="zh-CN" w:bidi="hi-IN"/>
        </w:rPr>
        <w:t>3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lang w:val="ru-RU" w:eastAsia="zh-CN" w:bidi="hi-IN"/>
        </w:rPr>
        <w:t>. Пункт 12 дополнить абзацами следующего содержания: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«Не допускается производить за счет средств, заявленных на условии софинансирования, расчеты в наличной форме.</w:t>
      </w:r>
    </w:p>
    <w:p>
      <w:pPr>
        <w:pStyle w:val="Normal"/>
        <w:widowControl/>
        <w:tabs>
          <w:tab w:val="clear" w:pos="709"/>
          <w:tab w:val="left" w:pos="1134" w:leader="none"/>
        </w:tabs>
        <w:bidi w:val="0"/>
        <w:spacing w:lineRule="auto" w:line="240" w:before="0" w:after="0"/>
        <w:ind w:firstLine="709" w:start="0" w:end="0"/>
        <w:jc w:val="both"/>
        <w:rPr>
          <w:rFonts w:ascii="Times New Roman" w:hAnsi="Times New Roman"/>
          <w:sz w:val="26"/>
          <w:shd w:fill="BBE33D" w:val="clear"/>
        </w:rPr>
      </w:pPr>
      <w:r>
        <w:rPr>
          <w:rFonts w:ascii="Times New Roman" w:hAnsi="Times New Roman"/>
          <w:sz w:val="26"/>
          <w:shd w:fill="auto" w:val="clear"/>
        </w:rPr>
        <w:t>Не допускается производить за счет средств, заявленных на условии софинансирования, расчеты с физическими лицами, за исключением физических лиц, применяющих специальный налоговый режим «Налог на профессиональный налог».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За счет средств субсидии и  средств, заявленных в рамках софинансирования, не допускаются расходы, вытекающие из сделок с заинтересованностью, сделок, заключенных между аффилированными лицами, родственниками, членами крестьянских (фермерских) хозяйств, членами кооперативов и иных хозяйственных обществ.».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4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. В пункте 13 исключить абзац второй.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5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. Абзац второй пункта 15 после слов «Реестр классифицированных средств размещения» дополнить словами «с типом средства размещения «Кемпинг» до момента начала предоставления услуг по временному размещению людей».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6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. В подпункте 1 пункта 19 слова «</w:t>
      </w:r>
      <w:hyperlink r:id="rId3">
        <w:r>
          <w:rPr>
            <w:rStyle w:val="Hyperlink"/>
            <w:rFonts w:eastAsia="Noto Serif CJK SC" w:cs="FreeSans" w:ascii="Times New Roman" w:hAnsi="Times New Roman"/>
            <w:b w:val="false"/>
            <w:bCs w:val="false"/>
            <w:color w:val="000000"/>
            <w:spacing w:val="-4"/>
            <w:kern w:val="0"/>
            <w:sz w:val="26"/>
            <w:szCs w:val="20"/>
            <w:u w:val="none"/>
            <w:shd w:fill="auto" w:val="clear"/>
            <w:lang w:val="ru-RU" w:eastAsia="zh-CN" w:bidi="hi-IN"/>
          </w:rPr>
          <w:t>www.dfei.adm-nao.ru</w:t>
        </w:r>
      </w:hyperlink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» заменить словами «https://derpi.adm-nao.ru/».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lang w:val="ru-RU" w:eastAsia="zh-CN" w:bidi="hi-IN"/>
        </w:rPr>
        <w:t>7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lang w:val="ru-RU" w:eastAsia="zh-CN" w:bidi="hi-IN"/>
        </w:rPr>
        <w:t>. Подпункт 9 пункта 24 изложить в следующей редакции: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«участник отбора состоит на налоговом учете в территориальном налоговом органе Ненецкого автономного округа;».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8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. Абзац второй пункта 27 исключить.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Последующим подпунктам присвоить соответствующие порядковые номера.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 xml:space="preserve">Дополнить подпунктом 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8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 xml:space="preserve"> следующего содержания: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«смету проекта;»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Подпункту 10 присвоить порядковый номер «9».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9</w:t>
      </w: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>. Подпункт 39 дополнить абзацем следующего содержания: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«В целях подтверждения соответствия документов, указанных в подпункте 3 пункта 27 настоящего Порядка, Департамент запрашивает позицию Департамента имущественных, земельных отношений и градостроительства Ненецкого автономного округа о соответствии земельного участка, используемого при реализации проекта в соответствии с подпунктом 2 пункта 10 настоящего Порядка, соответствующий по виду разрешенного использования и категории земель целям проекта.».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10. Пункт 66 изложить в следующей редакции: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</w:t>
      </w:r>
      <w:r>
        <w:rPr>
          <w:rStyle w:val="Style23"/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Департамент перечисляет средства субсидий на лицевой счет получателя субсидий, открытый в Управлении Федерального казначейства по Архангельской области и Ненецкому автономному округу, в течение 10 рабочих дней со дня заключения Соглашения.».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.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Абзац третий подпункта 2 пункта 68 изложить в следующей редакции: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«количество человек, размещенных в объекте кемпинг-размещения.».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2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. Абзац первый пункта 70 изложить в следующей редакции: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«Получатели субсидий ежеквартально представляют в Департамент отчет о достижении значений результата предоставления субсидий, отчет об осуществлении расходов, источником финансового обеспечения которых являются субсидии, отчет об использовании средств софинансирования, по формам, установленным в Соглашении, в системе «Электронный бюджет» с приложением копий документов, подтверждающих расходы, в следующие сроки:».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3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. Пункт 71 исключить, присвоив последующим пунктам соответствующие порядковые номера.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4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.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Пункт 72 дополнить абзацем следующего содержания: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«Получатели субсидии, реализующие проекты по направлению, указанному в подпункте 2 пункта 10 настоящего Порядка, по истечении срока предоставления отчетности, указанном в пункте 70, продолжают предоставлять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информацию о достижении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 значений результата предоставления субсидий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в отчете, указанном в абзаце первом настоящего пункта.».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5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.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Абзац первый пункта 73 изложить в следующей редакции: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«Ежеквартальные отчеты, указанные в пункт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е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 70 настоящего Порядка, представляются получателем субсидий до полного использования средств субсидий и средств софинансирования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и достижения значений результата предоставления субсидий.».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6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. Пункт 74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исключить, присвоив последующим пунктам соответствующие порядковые номера.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7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. В пункте 78 слова «пунктами 70-73» заменить словами «пунктами 70, 71».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8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. В пункте 79 слова «в пункте 77» заменить словами «в пункте 75».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9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П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ункт 81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изложить в следующей редакции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«В случае недостижения результата пред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о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ставления субсидий по характеристикам, предусмотренным подпунктом 1 пункта 68 настоящего Порядка, в установленный срок, субсидии подлежат возврату в окружной бюджет в полном объеме. 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В случае недостижения результата пред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о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ставления субсидий по характеристикам, предусмотренным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абзацем первым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подпунктом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 пункта 68 настоящего Порядка, в установленный срок, субсиди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я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 подлеж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и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т возврату в окружной бюджет в полном объеме.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 xml:space="preserve">В случае выявления факта отклонения по характеристикам результата, предусмотренным абзацем вторым подпункта 2 пункта 68 настоящего Порядка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более, чем на 20% от значения результата, установленного в Соглашении</w:t>
      </w: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, размер субсидий, подлежащий возврату, рассчитывается по формуле:</w:t>
      </w:r>
    </w:p>
    <w:p>
      <w:pPr>
        <w:pStyle w:val="ConsPlusNormal1"/>
        <w:widowControl/>
        <w:ind w:firstLine="68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V = S x k,</w:t>
      </w:r>
    </w:p>
    <w:p>
      <w:pPr>
        <w:pStyle w:val="ConsPlusNormal1"/>
        <w:widowControl/>
        <w:ind w:firstLine="68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где: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V – размер субсидий, подлежащий возврату;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S – размер полученных субсидий;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k – коэффициент возврата субсидий, который рассчитывается по формуле: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</w:r>
    </w:p>
    <w:p>
      <w:pPr>
        <w:pStyle w:val="ConsPlusNormal1"/>
        <w:widowControl/>
        <w:ind w:firstLine="68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k = 1 – n/m,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где: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n – фактически достигнутое значение характеристики результата,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4"/>
          <w:sz w:val="26"/>
          <w:shd w:fill="auto" w:val="clear"/>
        </w:rPr>
        <w:t>m – установленное в Соглашении значение характеристики результата.».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20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.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В пункте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82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 слова «пункт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а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 77» заменить словами «пункт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а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 75».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2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.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П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ункт 8 Приложения 1 изложить в следующей редакции: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</w:t>
      </w: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  <w:sz w:val="26"/>
        </w:rPr>
        <w:t xml:space="preserve">начения результатов предоставления субсидий, соответствующих целям предоставления субсидий (по выбранному направлению расходования средств </w:t>
      </w:r>
      <w:r>
        <w:rPr>
          <w:rFonts w:ascii="Times New Roman" w:hAnsi="Times New Roman"/>
          <w:color w:themeColor="dark1" w:val="000000"/>
          <w:sz w:val="26"/>
        </w:rPr>
        <w:t>субсидий</w:t>
      </w:r>
      <w:r>
        <w:rPr>
          <w:rFonts w:ascii="Times New Roman" w:hAnsi="Times New Roman"/>
          <w:sz w:val="26"/>
        </w:rPr>
        <w:t>):</w:t>
      </w:r>
    </w:p>
    <w:tbl>
      <w:tblPr>
        <w:tblW w:w="949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1"/>
        <w:gridCol w:w="4673"/>
        <w:gridCol w:w="3974"/>
      </w:tblGrid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№</w:t>
            </w:r>
          </w:p>
        </w:tc>
        <w:tc>
          <w:tcPr>
            <w:tcW w:w="4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 xml:space="preserve">Результат предоставления </w:t>
            </w:r>
            <w:r>
              <w:rPr>
                <w:rFonts w:ascii="Times New Roman" w:hAnsi="Times New Roman"/>
                <w:color w:themeColor="dark1" w:val="000000"/>
                <w:spacing w:val="0"/>
                <w:kern w:val="0"/>
                <w:sz w:val="26"/>
                <w:szCs w:val="20"/>
              </w:rPr>
              <w:t>субсидий</w:t>
            </w:r>
          </w:p>
        </w:tc>
        <w:tc>
          <w:tcPr>
            <w:tcW w:w="39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Количественное значение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1.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1</w:t>
            </w:r>
          </w:p>
        </w:tc>
        <w:tc>
          <w:tcPr>
            <w:tcW w:w="4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Количество объектов кемпинг-размещения</w:t>
            </w:r>
          </w:p>
        </w:tc>
        <w:tc>
          <w:tcPr>
            <w:tcW w:w="39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709" w:start="0" w:end="0"/>
              <w:jc w:val="start"/>
              <w:rPr>
                <w:rFonts w:ascii="Times New Roman" w:hAnsi="Times New Roman"/>
                <w:sz w:val="26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</w:t>
            </w:r>
          </w:p>
        </w:tc>
        <w:tc>
          <w:tcPr>
            <w:tcW w:w="46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 w:val="false"/>
                <w:bCs w:val="false"/>
                <w:spacing w:val="-4"/>
                <w:sz w:val="26"/>
                <w:shd w:fill="auto" w:val="clear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spacing w:val="-4"/>
                <w:sz w:val="26"/>
                <w:shd w:fill="auto" w:val="clear"/>
              </w:rPr>
              <w:t>оличество человек, размещенных в объекте кемпинг-размещения</w:t>
            </w:r>
          </w:p>
        </w:tc>
        <w:tc>
          <w:tcPr>
            <w:tcW w:w="397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709" w:start="0" w:end="0"/>
              <w:jc w:val="star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20__:</w:t>
            </w:r>
          </w:p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709" w:start="0" w:end="0"/>
              <w:jc w:val="star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20__:</w:t>
            </w:r>
          </w:p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709" w:start="0" w:end="0"/>
              <w:jc w:val="start"/>
              <w:rPr>
                <w:rFonts w:ascii="Times New Roman" w:hAnsi="Times New Roman"/>
                <w:sz w:val="26"/>
              </w:rPr>
            </w:pPr>
            <w:r>
              <w:rPr>
                <w:spacing w:val="0"/>
                <w:kern w:val="0"/>
                <w:sz w:val="26"/>
                <w:szCs w:val="20"/>
              </w:rPr>
              <w:t>20__:</w:t>
            </w:r>
          </w:p>
        </w:tc>
      </w:tr>
      <w:tr>
        <w:trPr>
          <w:trHeight w:val="702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2</w:t>
            </w:r>
          </w:p>
        </w:tc>
        <w:tc>
          <w:tcPr>
            <w:tcW w:w="4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К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оличество единиц приобретенного туристского оборудования и (или) количество разработанных маршрутов, и (или) количество реализованных проектов, и (или) количество созданных путеводителей</w:t>
            </w:r>
          </w:p>
        </w:tc>
        <w:tc>
          <w:tcPr>
            <w:tcW w:w="39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left" w:pos="709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firstLine="709" w:start="0" w:end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ab/>
        <w:t>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9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. В Приложении 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2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 критери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й 1</w:t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 xml:space="preserve"> изложить в следующей редакции: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</w:t>
      </w:r>
    </w:p>
    <w:tbl>
      <w:tblPr>
        <w:tblW w:w="951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2"/>
        <w:gridCol w:w="3590"/>
        <w:gridCol w:w="3628"/>
        <w:gridCol w:w="917"/>
        <w:gridCol w:w="850"/>
      </w:tblGrid>
      <w:tr>
        <w:trPr/>
        <w:tc>
          <w:tcPr>
            <w:tcW w:w="5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5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4"/>
              <w:tabs>
                <w:tab w:val="clear" w:pos="709"/>
              </w:tabs>
              <w:bidi w:val="0"/>
              <w:jc w:val="start"/>
              <w:rPr>
                <w:sz w:val="23"/>
              </w:rPr>
            </w:pPr>
            <w:r>
              <w:rPr>
                <w:sz w:val="23"/>
              </w:rPr>
              <w:t>Место реализации (муниципальное образование)</w:t>
            </w:r>
          </w:p>
        </w:tc>
        <w:tc>
          <w:tcPr>
            <w:tcW w:w="3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 w:val="false"/>
                <w:bCs w:val="false"/>
                <w:spacing w:val="-4"/>
                <w:sz w:val="23"/>
                <w:shd w:fill="auto" w:val="clear"/>
              </w:rPr>
              <w:t>Городское поселение «Рабочий поселок Искателей», Муниципальное образование «Городской округ «Город Нарьян-Мар</w:t>
            </w:r>
          </w:p>
        </w:tc>
        <w:tc>
          <w:tcPr>
            <w:tcW w:w="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5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 w:val="false"/>
                <w:bCs w:val="false"/>
                <w:spacing w:val="-4"/>
                <w:sz w:val="23"/>
                <w:shd w:fill="auto" w:val="clear"/>
              </w:rPr>
              <w:t>Сельское поселение «Приморско-Куйский сельсовет» ЗР НАО,  Сельское поселение «Тельвисочный сельсовет» ЗР НАО, межселенные территории НАО</w:t>
            </w:r>
          </w:p>
        </w:tc>
        <w:tc>
          <w:tcPr>
            <w:tcW w:w="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5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 w:val="false"/>
                <w:bCs w:val="false"/>
                <w:spacing w:val="-4"/>
                <w:sz w:val="23"/>
                <w:shd w:fill="auto" w:val="clear"/>
              </w:rPr>
              <w:t>Сельские поселения ЗР НАО (за исключением Сельского поселения «Приморско-Куйский сельсовет» ЗР НАО,  Сельского поселения «Тельвисочный сельсовет» ЗР НАО)</w:t>
            </w:r>
          </w:p>
        </w:tc>
        <w:tc>
          <w:tcPr>
            <w:tcW w:w="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».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20.  В Приложении 2 критерий 8 изложить в следующей редакции:</w:t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>«</w:t>
      </w:r>
    </w:p>
    <w:tbl>
      <w:tblPr>
        <w:tblW w:w="95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2"/>
        <w:gridCol w:w="3590"/>
        <w:gridCol w:w="3628"/>
        <w:gridCol w:w="917"/>
        <w:gridCol w:w="900"/>
      </w:tblGrid>
      <w:tr>
        <w:trPr/>
        <w:tc>
          <w:tcPr>
            <w:tcW w:w="5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35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 w:val="false"/>
                <w:bCs w:val="false"/>
                <w:spacing w:val="-4"/>
                <w:sz w:val="23"/>
                <w:shd w:fill="auto" w:val="clear"/>
              </w:rPr>
              <w:t>Проект взаимосвязан с туристскими ресурсами</w:t>
            </w:r>
          </w:p>
        </w:tc>
        <w:tc>
          <w:tcPr>
            <w:tcW w:w="3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4"/>
              <w:tabs>
                <w:tab w:val="clear" w:pos="709"/>
              </w:tabs>
              <w:bidi w:val="0"/>
              <w:jc w:val="start"/>
              <w:rPr>
                <w:sz w:val="23"/>
              </w:rPr>
            </w:pPr>
            <w:r>
              <w:rPr>
                <w:sz w:val="23"/>
              </w:rPr>
              <w:t>Не связан</w:t>
            </w:r>
          </w:p>
        </w:tc>
        <w:tc>
          <w:tcPr>
            <w:tcW w:w="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5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 w:val="false"/>
                <w:bCs w:val="false"/>
                <w:spacing w:val="-4"/>
                <w:sz w:val="23"/>
                <w:shd w:fill="auto" w:val="clear"/>
              </w:rPr>
              <w:t>Взаимосвязан частично (имеется один туристский ресурс)</w:t>
            </w:r>
          </w:p>
        </w:tc>
        <w:tc>
          <w:tcPr>
            <w:tcW w:w="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5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 w:val="false"/>
                <w:bCs w:val="false"/>
                <w:spacing w:val="-4"/>
                <w:sz w:val="23"/>
                <w:shd w:fill="auto" w:val="clear"/>
              </w:rPr>
              <w:t>Взаимосвязан (имеются два и более туристских ресурса)</w:t>
            </w:r>
          </w:p>
        </w:tc>
        <w:tc>
          <w:tcPr>
            <w:tcW w:w="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3"/>
              <w:tabs>
                <w:tab w:val="clear" w:pos="709"/>
              </w:tabs>
              <w:bidi w:val="0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  <w:t>».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</w:r>
    </w:p>
    <w:p>
      <w:pPr>
        <w:pStyle w:val="ConsPlusNormal1"/>
        <w:widowControl/>
        <w:ind w:firstLine="68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false"/>
          <w:bCs w:val="false"/>
          <w:spacing w:val="-4"/>
          <w:sz w:val="26"/>
          <w:shd w:fill="auto" w:val="clear"/>
        </w:rPr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/>
          <w:b/>
          <w:sz w:val="26"/>
        </w:rPr>
      </w:pPr>
      <w:r>
        <w:rPr>
          <w:rFonts w:eastAsia="Noto Serif CJK SC" w:cs="FreeSans" w:ascii="Times New Roman" w:hAnsi="Times New Roman"/>
          <w:b w:val="false"/>
          <w:bCs w:val="false"/>
          <w:color w:val="000000"/>
          <w:spacing w:val="-4"/>
          <w:kern w:val="0"/>
          <w:sz w:val="26"/>
          <w:szCs w:val="20"/>
          <w:shd w:fill="auto" w:val="clear"/>
          <w:lang w:val="ru-RU" w:eastAsia="zh-CN" w:bidi="hi-IN"/>
        </w:rPr>
        <w:t xml:space="preserve"> </w:t>
      </w:r>
    </w:p>
    <w:sectPr>
      <w:headerReference w:type="default" r:id="rId4"/>
      <w:headerReference w:type="first" r:id="rId5"/>
      <w:type w:val="nextPage"/>
      <w:pgSz w:w="11906" w:h="16838"/>
      <w:pgMar w:left="1701" w:right="707" w:gutter="0" w:header="567" w:top="1134" w:footer="0" w:bottom="993"/>
      <w:pgNumType w:start="1" w:fmt="decimal"/>
      <w:formProt w:val="false"/>
      <w:titlePg/>
      <w:textDirection w:val="lrTb"/>
      <w:docGrid w:type="default" w:linePitch="100" w:charSpace="429493043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 CYR">
    <w:charset w:val="01" w:characterSet="utf-8"/>
    <w:family w:val="roman"/>
    <w:pitch w:val="default"/>
  </w:font>
  <w:font w:name="Arial">
    <w:charset w:val="01" w:characterSet="utf-8"/>
    <w:family w:val="swiss"/>
    <w:pitch w:val="default"/>
  </w:font>
  <w:font w:name="Times New Roman">
    <w:charset w:val="01" w:characterSet="utf-8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4</w:t>
    </w:r>
    <w:r>
      <w:rPr>
        <w:sz w:val="24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6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6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6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6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6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6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6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6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6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Цветовое выделение для Текст"/>
    <w:qFormat/>
    <w:rPr>
      <w:rFonts w:ascii="Times New Roman CYR" w:hAnsi="Times New Roman CYR"/>
      <w:sz w:val="24"/>
    </w:rPr>
  </w:style>
  <w:style w:type="character" w:styleId="Style24">
    <w:name w:val="Цветовое выделение"/>
    <w:qFormat/>
    <w:rPr>
      <w:b/>
      <w:color w:val="26282F"/>
    </w:rPr>
  </w:style>
  <w:style w:type="character" w:styleId="Style25">
    <w:name w:val="Гипертекстовая ссылка"/>
    <w:basedOn w:val="Style24"/>
    <w:qFormat/>
    <w:rPr>
      <w:b w:val="false"/>
      <w:color w:val="106BBE"/>
    </w:rPr>
  </w:style>
  <w:style w:type="paragraph" w:styleId="Style26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7">
    <w:name w:val="Указатель"/>
    <w:basedOn w:val="Normal"/>
    <w:qFormat/>
    <w:pPr>
      <w:jc w:val="start"/>
    </w:pPr>
    <w:rPr>
      <w:rFonts w:cs="Lohit Devanagari"/>
    </w:rPr>
  </w:style>
  <w:style w:type="paragraph" w:styleId="Style28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9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30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6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6"/>
    <w:pPr>
      <w:ind w:hanging="0" w:start="0" w:end="0"/>
    </w:pPr>
    <w:rPr/>
  </w:style>
  <w:style w:type="paragraph" w:styleId="Index1">
    <w:name w:val="index 1"/>
    <w:basedOn w:val="Style27"/>
    <w:pPr>
      <w:ind w:hanging="0" w:start="0" w:end="0"/>
    </w:pPr>
    <w:rPr/>
  </w:style>
  <w:style w:type="paragraph" w:styleId="Index2">
    <w:name w:val="index 2"/>
    <w:basedOn w:val="Style27"/>
    <w:pPr>
      <w:ind w:hanging="0" w:start="0" w:end="0"/>
    </w:pPr>
    <w:rPr/>
  </w:style>
  <w:style w:type="paragraph" w:styleId="Index3">
    <w:name w:val="index 3"/>
    <w:basedOn w:val="Style27"/>
    <w:pPr>
      <w:ind w:hanging="0" w:start="0" w:end="0"/>
    </w:pPr>
    <w:rPr/>
  </w:style>
  <w:style w:type="paragraph" w:styleId="Style31">
    <w:name w:val="Разделитель предметного указателя"/>
    <w:basedOn w:val="Style27"/>
    <w:qFormat/>
    <w:pPr>
      <w:ind w:hanging="0" w:start="0" w:end="0"/>
    </w:pPr>
    <w:rPr/>
  </w:style>
  <w:style w:type="paragraph" w:styleId="TOCHeading">
    <w:name w:val="TOC Heading"/>
    <w:basedOn w:val="Style26"/>
    <w:next w:val="TOC1"/>
    <w:qFormat/>
    <w:pPr>
      <w:ind w:hanging="0" w:start="0" w:end="0"/>
    </w:pPr>
    <w:rPr/>
  </w:style>
  <w:style w:type="paragraph" w:styleId="TOC1">
    <w:name w:val="toc 1"/>
    <w:basedOn w:val="Style27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7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7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7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7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32">
    <w:name w:val="Заголовок указателей пользователя"/>
    <w:basedOn w:val="Style26"/>
    <w:qFormat/>
    <w:pPr/>
    <w:rPr/>
  </w:style>
  <w:style w:type="paragraph" w:styleId="15">
    <w:name w:val="Указатель пользователя 1"/>
    <w:basedOn w:val="Style27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7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7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7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7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7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7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7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7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7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7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3">
    <w:name w:val="Заголовок списка объектов"/>
    <w:basedOn w:val="Style26"/>
    <w:qFormat/>
    <w:pPr>
      <w:ind w:hanging="0" w:start="0" w:end="0"/>
    </w:pPr>
    <w:rPr/>
  </w:style>
  <w:style w:type="paragraph" w:styleId="16">
    <w:name w:val="Список объектов 1"/>
    <w:basedOn w:val="Style27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4">
    <w:name w:val="Заголовок списка таблиц"/>
    <w:basedOn w:val="Style26"/>
    <w:qFormat/>
    <w:pPr>
      <w:ind w:hanging="0" w:start="0" w:end="0"/>
    </w:pPr>
    <w:rPr/>
  </w:style>
  <w:style w:type="paragraph" w:styleId="17">
    <w:name w:val="Список таблиц 1"/>
    <w:basedOn w:val="Style27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6"/>
    <w:pPr>
      <w:ind w:hanging="0" w:start="0" w:end="0"/>
    </w:pPr>
    <w:rPr/>
  </w:style>
  <w:style w:type="paragraph" w:styleId="18">
    <w:name w:val="Библиография 1"/>
    <w:basedOn w:val="Style27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7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7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7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7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7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9">
    <w:name w:val="Содержимое таблицы"/>
    <w:basedOn w:val="Normal"/>
    <w:qFormat/>
    <w:pPr/>
    <w:rPr/>
  </w:style>
  <w:style w:type="paragraph" w:styleId="Style40">
    <w:name w:val="Заголовок таблицы"/>
    <w:basedOn w:val="Style39"/>
    <w:qFormat/>
    <w:pPr>
      <w:jc w:val="center"/>
    </w:pPr>
    <w:rPr>
      <w:b/>
    </w:rPr>
  </w:style>
  <w:style w:type="paragraph" w:styleId="Style41">
    <w:name w:val="Иллюстрация"/>
    <w:basedOn w:val="Caption"/>
    <w:qFormat/>
    <w:pPr/>
    <w:rPr/>
  </w:style>
  <w:style w:type="paragraph" w:styleId="Style42">
    <w:name w:val="Таблица"/>
    <w:basedOn w:val="Caption"/>
    <w:qFormat/>
    <w:pPr/>
    <w:rPr/>
  </w:style>
  <w:style w:type="paragraph" w:styleId="Style43">
    <w:name w:val="Текст"/>
    <w:basedOn w:val="Caption"/>
    <w:qFormat/>
    <w:pPr/>
    <w:rPr/>
  </w:style>
  <w:style w:type="paragraph" w:styleId="Style44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5">
    <w:name w:val="Рисунок"/>
    <w:basedOn w:val="Caption"/>
    <w:qFormat/>
    <w:pPr/>
    <w:rPr/>
  </w:style>
  <w:style w:type="paragraph" w:styleId="Style4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7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8">
    <w:name w:val="Содержимое списка"/>
    <w:basedOn w:val="Normal"/>
    <w:qFormat/>
    <w:pPr>
      <w:ind w:hanging="0" w:start="0" w:end="0"/>
    </w:pPr>
    <w:rPr/>
  </w:style>
  <w:style w:type="paragraph" w:styleId="Style49">
    <w:name w:val="Заголовок списка"/>
    <w:basedOn w:val="Normal"/>
    <w:next w:val="Style48"/>
    <w:qFormat/>
    <w:pPr>
      <w:ind w:hanging="0" w:start="0" w:end="0"/>
    </w:pPr>
    <w:rPr/>
  </w:style>
  <w:style w:type="paragraph" w:styleId="Style50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51">
    <w:name w:val="Исполнитель документа"/>
    <w:basedOn w:val="Normal"/>
    <w:qFormat/>
    <w:pPr>
      <w:jc w:val="start"/>
    </w:pPr>
    <w:rPr>
      <w:sz w:val="24"/>
    </w:rPr>
  </w:style>
  <w:style w:type="paragraph" w:styleId="Style52">
    <w:name w:val="Заголовок списка иллюстраций"/>
    <w:basedOn w:val="Style26"/>
    <w:qFormat/>
    <w:pPr>
      <w:suppressLineNumbers/>
      <w:ind w:hanging="0" w:start="0" w:end="0"/>
      <w:jc w:val="center"/>
    </w:pPr>
    <w:rPr/>
  </w:style>
  <w:style w:type="paragraph" w:styleId="ListParagraph1">
    <w:name w:val="List Paragraph1"/>
    <w:basedOn w:val="Normal"/>
    <w:qFormat/>
    <w:pPr>
      <w:widowControl/>
      <w:spacing w:before="0" w:after="200"/>
      <w:ind w:start="720"/>
      <w:contextualSpacing/>
    </w:pPr>
    <w:rPr/>
  </w:style>
  <w:style w:type="paragraph" w:styleId="ConsPlusNormal1">
    <w:name w:val="ConsPlus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3">
    <w:name w:val="Нормальный (таблица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Times New Roman CYR" w:hAnsi="Times New Roman CYR"/>
      <w:sz w:val="24"/>
    </w:rPr>
  </w:style>
  <w:style w:type="paragraph" w:styleId="Style54">
    <w:name w:val="Прижатый влево"/>
    <w:basedOn w:val="Normal"/>
    <w:next w:val="Normal"/>
    <w:qFormat/>
    <w:pPr>
      <w:suppressAutoHyphens w:val="false"/>
      <w:spacing w:before="0" w:after="0"/>
      <w:ind w:hanging="0"/>
      <w:jc w:val="start"/>
    </w:pPr>
    <w:rPr>
      <w:rFonts w:ascii="Times New Roman CYR" w:hAnsi="Times New Roman CYR"/>
      <w:sz w:val="24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5">
    <w:name w:val="Маркированный •"/>
    <w:qFormat/>
  </w:style>
  <w:style w:type="numbering" w:styleId="Style56">
    <w:name w:val="Маркированный –"/>
    <w:qFormat/>
  </w:style>
  <w:style w:type="numbering" w:styleId="Style57">
    <w:name w:val="Маркированный ☑"/>
    <w:qFormat/>
  </w:style>
  <w:style w:type="numbering" w:styleId="Style58">
    <w:name w:val="Маркированный ➢"/>
    <w:qFormat/>
  </w:style>
  <w:style w:type="numbering" w:styleId="Style59">
    <w:name w:val="Маркированный ✗"/>
    <w:qFormat/>
  </w:style>
  <w:style w:type="numbering" w:styleId="19">
    <w:name w:val="Нумерованный 1)"/>
    <w:qFormat/>
  </w:style>
  <w:style w:type="numbering" w:styleId="Style60">
    <w:name w:val="Нумерованный а)"/>
    <w:qFormat/>
  </w:style>
  <w:style w:type="numbering" w:styleId="Style61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dfei.adm-nao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LibreOffice/25.2.3.2$Linux_X86_64 LibreOffice_project/520$Build-2</Application>
  <AppVersion>15.0000</AppVersion>
  <Pages>6</Pages>
  <Words>1108</Words>
  <Characters>7775</Characters>
  <CharactersWithSpaces>8866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2026-03-16T16:26:53Z</dcterms:created>
  <dc:creator/>
  <dc:description/>
  <dc:language>ru-RU</dc:language>
  <cp:lastModifiedBy/>
  <dcterms:modified xsi:type="dcterms:W3CDTF">2026-04-02T09:48:08Z</dcterms:modified>
  <cp:revision>6</cp:revision>
  <dc:subject/>
  <dc:title>Default</dc:title>
</cp:coreProperties>
</file>