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1"/>
        <w:widowControl/>
        <w:jc w:val="center"/>
        <w:rPr/>
      </w:pPr>
      <w:r>
        <w:rPr>
          <w:rFonts w:ascii="Times New Roman" w:hAnsi="Times New Roman"/>
          <w:b/>
          <w:sz w:val="28"/>
        </w:rPr>
        <w:t>Уведомление</w:t>
        <w:br/>
        <w:t>о начале обсуждения идеи</w:t>
        <w:br/>
      </w:r>
      <w:r>
        <w:rPr>
          <w:rFonts w:ascii="Times New Roman" w:hAnsi="Times New Roman"/>
          <w:b/>
          <w:bCs/>
          <w:sz w:val="28"/>
        </w:rPr>
        <w:t>предлагаемого правового регулирования</w:t>
      </w:r>
    </w:p>
    <w:p>
      <w:pPr>
        <w:pStyle w:val="ConsPlusNonformat1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nformat1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nformat1"/>
        <w:widowControl/>
        <w:ind w:firstLine="709" w:start="0" w:end="0"/>
        <w:jc w:val="both"/>
        <w:rPr/>
      </w:pPr>
      <w:r>
        <w:rPr>
          <w:rFonts w:ascii="Times New Roman" w:hAnsi="Times New Roman"/>
          <w:sz w:val="28"/>
        </w:rPr>
        <w:t>Департамент строительства, жилищно-коммунального хозяйства, энергетики и транспорта Ненецкого автономного округа извещает о начале обсуждения идеи предлагаемого правового регулирования и сборе предложений заинтересованных лиц.</w:t>
      </w:r>
    </w:p>
    <w:p>
      <w:pPr>
        <w:pStyle w:val="ConsPlusNonformat1"/>
        <w:widowControl/>
        <w:ind w:firstLine="709" w:start="0" w:end="0"/>
        <w:jc w:val="both"/>
        <w:rPr/>
      </w:pPr>
      <w:r>
        <w:rPr>
          <w:rFonts w:ascii="Times New Roman" w:hAnsi="Times New Roman"/>
          <w:sz w:val="28"/>
        </w:rPr>
        <w:t>Предложения принимаются по адресу: 166000, Ненецкий автономный округ, г. Нарьян-Мар, ул. им. А. П. Пырерко, д. 7.</w:t>
      </w:r>
    </w:p>
    <w:p>
      <w:pPr>
        <w:pStyle w:val="ConsPlusNonformat1"/>
        <w:widowControl/>
        <w:ind w:firstLine="709" w:start="0" w:end="0"/>
        <w:jc w:val="both"/>
        <w:rPr/>
      </w:pPr>
      <w:r>
        <w:rPr>
          <w:rFonts w:ascii="Times New Roman" w:hAnsi="Times New Roman"/>
          <w:sz w:val="28"/>
        </w:rPr>
        <w:t>в часы работы: с 8:30 часов до 17:30 часов в рабочие дни, а также по адресу электронной почты: naostroy</w:t>
      </w:r>
      <w:hyperlink r:id="rId2">
        <w:r>
          <w:rPr>
            <w:rStyle w:val="Style4"/>
            <w:rFonts w:ascii="Times New Roman" w:hAnsi="Times New Roman"/>
            <w:sz w:val="28"/>
          </w:rPr>
          <w:t>@adm-nao.ru</w:t>
        </w:r>
      </w:hyperlink>
      <w:r>
        <w:rPr>
          <w:rFonts w:ascii="Times New Roman" w:hAnsi="Times New Roman"/>
          <w:sz w:val="28"/>
        </w:rPr>
        <w:t>.</w:t>
      </w:r>
    </w:p>
    <w:p>
      <w:pPr>
        <w:pStyle w:val="ConsPlusNonformat1"/>
        <w:widowControl/>
        <w:ind w:firstLine="709" w:start="0" w:end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Срок приема предложений: c 8 апреля 2026 года по 15 апреля 2026 года. </w:t>
      </w:r>
    </w:p>
    <w:p>
      <w:pPr>
        <w:pStyle w:val="ConsPlusNonformat1"/>
        <w:widowControl/>
        <w:ind w:firstLine="709" w:start="0" w:end="0"/>
        <w:jc w:val="both"/>
        <w:rPr/>
      </w:pPr>
      <w:r>
        <w:rPr>
          <w:rFonts w:ascii="XO Thames" w:hAnsi="XO Thames"/>
          <w:sz w:val="28"/>
          <w:szCs w:val="28"/>
        </w:rPr>
        <w:t xml:space="preserve">Сводка предложений будет размещена в информационно-телекоммуникационной сети «Интернет» по адресу:  </w:t>
      </w:r>
      <w:hyperlink r:id="rId3">
        <w:r>
          <w:rPr>
            <w:rStyle w:val="Style4"/>
            <w:rFonts w:ascii="XO Thames" w:hAnsi="XO Thames"/>
            <w:sz w:val="28"/>
            <w:szCs w:val="28"/>
          </w:rPr>
          <w:t>https://derpi.adm-nao.ru/orv/</w:t>
        </w:r>
      </w:hyperlink>
      <w:r>
        <w:rPr>
          <w:rFonts w:ascii="XO Thames" w:hAnsi="XO Thames"/>
          <w:sz w:val="28"/>
          <w:szCs w:val="28"/>
        </w:rPr>
        <w:t xml:space="preserve"> не позднее </w:t>
      </w:r>
      <w:r>
        <w:rPr>
          <w:rFonts w:ascii="XO Thames" w:hAnsi="XO Thames"/>
          <w:sz w:val="28"/>
          <w:szCs w:val="28"/>
          <w:shd w:fill="auto" w:val="clear"/>
        </w:rPr>
        <w:t>8</w:t>
      </w:r>
      <w:r>
        <w:rPr>
          <w:rFonts w:ascii="XO Thames" w:hAnsi="XO Thames"/>
          <w:sz w:val="28"/>
          <w:szCs w:val="28"/>
        </w:rPr>
        <w:t xml:space="preserve"> рабочих дней со дня окончания приема предложений.</w:t>
      </w:r>
    </w:p>
    <w:p>
      <w:pPr>
        <w:pStyle w:val="ConsPlusNonformat1"/>
        <w:widowControl/>
        <w:ind w:firstLine="709" w:start="0" w:end="0"/>
        <w:jc w:val="both"/>
        <w:rPr/>
      </w:pPr>
      <w:r>
        <w:rPr>
          <w:rFonts w:ascii="XO Thames" w:hAnsi="XO Thames"/>
          <w:sz w:val="28"/>
          <w:szCs w:val="28"/>
        </w:rPr>
        <w:t>1. Описание проблемы, на решение которой направлено предлагаемое правовое регулирование:</w:t>
      </w:r>
    </w:p>
    <w:p>
      <w:pPr>
        <w:pStyle w:val="Normal"/>
        <w:ind w:firstLine="709" w:start="0" w:end="0"/>
        <w:jc w:val="both"/>
        <w:rPr/>
      </w:pPr>
      <w:r>
        <w:rPr>
          <w:rStyle w:val="Hyperlink"/>
          <w:rFonts w:ascii="XO Thames" w:hAnsi="XO Thame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Согласно части 1 статьи 101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Style w:val="Hyperlink"/>
          <w:rFonts w:ascii="XO Thames" w:hAnsi="XO Thame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eastAsia="ru-RU"/>
        </w:rPr>
        <w:t xml:space="preserve">(далее </w:t>
      </w:r>
      <w:r>
        <w:rPr>
          <w:rStyle w:val="Hyperlink"/>
          <w:rFonts w:eastAsia="XO Thames" w:cs="XO Thames" w:ascii="XO Thames" w:hAnsi="XO Thame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eastAsia="ru-RU"/>
        </w:rPr>
        <w:t>–</w:t>
      </w:r>
      <w:r>
        <w:rPr>
          <w:rStyle w:val="Hyperlink"/>
          <w:rFonts w:eastAsia="" w:cs="" w:ascii="XO Thames" w:hAnsi="XO Thame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eastAsia="ru-RU"/>
        </w:rPr>
        <w:t xml:space="preserve"> </w:t>
      </w:r>
      <w:r>
        <w:rPr>
          <w:rStyle w:val="Hyperlink"/>
          <w:rFonts w:ascii="XO Thames" w:hAnsi="XO Thame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eastAsia="ru-RU"/>
        </w:rPr>
        <w:t xml:space="preserve">Федеральный закон от 05.04.2013 № 44-ФЗ) </w:t>
      </w:r>
      <w:r>
        <w:rPr>
          <w:rStyle w:val="Hyperlink"/>
          <w:rFonts w:ascii="XO Thames" w:hAnsi="XO Thame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заказчик обязан осуществлять контроль</w:t>
        <w:br/>
        <w:t>за исполнением поставщиком (подрядчиком, исполнителем) условий контракта в соответствии с законодательством Российской Федерации.</w:t>
      </w:r>
    </w:p>
    <w:p>
      <w:pPr>
        <w:pStyle w:val="Style14"/>
        <w:ind w:firstLine="709" w:start="0" w:end="0"/>
        <w:jc w:val="both"/>
        <w:rPr/>
      </w:pPr>
      <w:r>
        <w:rPr>
          <w:rStyle w:val="Hyperlink"/>
          <w:rFonts w:ascii="XO Thames" w:hAnsi="XO Thame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В свою очередь поставщик (подрядчик, исполнитель) в соответствии</w:t>
        <w:br/>
        <w:t>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обязан предоставить заказчику результаты поставки товара, выполнения работы или оказания услуги, предусмотренные контрактом, результаты отдельного этапа исполнения контракта (часть 2 статьи 94 Федерального закона от 05.04.2013 № 44-ФЗ).</w:t>
      </w:r>
    </w:p>
    <w:p>
      <w:pPr>
        <w:pStyle w:val="Normal"/>
        <w:suppressAutoHyphens w:val="true"/>
        <w:bidi w:val="0"/>
        <w:spacing w:lineRule="auto" w:line="240" w:before="0" w:after="0"/>
        <w:ind w:firstLine="709" w:start="0" w:end="0"/>
        <w:jc w:val="both"/>
        <w:rPr/>
      </w:pPr>
      <w:r>
        <w:rPr>
          <w:rFonts w:ascii="XO Thames" w:hAnsi="XO Thames"/>
          <w:b w:val="false"/>
          <w:bCs w:val="false"/>
          <w:color w:val="000000"/>
          <w:sz w:val="28"/>
          <w:szCs w:val="28"/>
          <w:lang w:eastAsia="ru-RU"/>
        </w:rPr>
        <w:t xml:space="preserve">Частью 65.1 статьи 112 Федерального закона от 05.04.2013 № 44-ФЗ </w:t>
      </w:r>
      <w:r>
        <w:rPr>
          <w:rFonts w:ascii="XO Thames" w:hAnsi="XO Thame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установлено, что существенные условия контракта, заключенного до 1 января 2027 года, при исполнении которого возникли обстоятельства, независящие</w:t>
        <w:br/>
        <w:t xml:space="preserve">от сторон контракта, влекущие невозможность его исполнения, могут быть изменены по соглашению сторон. </w:t>
      </w:r>
    </w:p>
    <w:p>
      <w:pPr>
        <w:pStyle w:val="Normal"/>
        <w:suppressAutoHyphens w:val="true"/>
        <w:bidi w:val="0"/>
        <w:spacing w:lineRule="auto" w:line="240" w:before="0" w:after="0"/>
        <w:ind w:firstLine="709" w:start="0" w:end="0"/>
        <w:jc w:val="both"/>
        <w:rPr/>
      </w:pPr>
      <w:r>
        <w:rPr>
          <w:rFonts w:ascii="XO Thames" w:hAnsi="XO Thame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 xml:space="preserve">Изменение существенных условий контракта </w:t>
      </w: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осуществляется</w:t>
        <w:br/>
        <w:t>с соблюдением положений частей 1.3</w:t>
      </w:r>
      <w:r>
        <w:rPr>
          <w:rFonts w:eastAsia="XO Thames" w:cs="XO Thames"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–</w:t>
      </w:r>
      <w:r>
        <w:rPr>
          <w:rFonts w:eastAsia="" w:cs=""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1.6 статьи 95 </w:t>
      </w:r>
      <w:r>
        <w:rPr>
          <w:rFonts w:eastAsia="" w:cs="" w:ascii="XO Thames" w:hAnsi="XO Thame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Федерального закона</w:t>
        <w:br/>
        <w:t xml:space="preserve">от 05.04.2013 № 44-ФЗ </w:t>
      </w: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 основании решения высшего исполнительного органа субъекта Российской Федерации (при осуществлении закупок</w:t>
        <w:br/>
        <w:t>для нужд субъекта Российской Федерации).</w:t>
      </w:r>
    </w:p>
    <w:p>
      <w:pPr>
        <w:pStyle w:val="Normal"/>
        <w:suppressAutoHyphens w:val="true"/>
        <w:bidi w:val="0"/>
        <w:spacing w:lineRule="auto" w:line="240" w:before="0" w:after="0"/>
        <w:ind w:firstLine="709" w:start="0" w:end="0"/>
        <w:jc w:val="both"/>
        <w:rPr/>
      </w:pPr>
      <w:r>
        <w:rPr>
          <w:rFonts w:eastAsia="" w:cs="" w:ascii="XO Thames" w:hAnsi="XO Thame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Подготовка соответствующих решений Администрации Ненецкого автономного округа об изменении существенных условий государственных контрактов, на основании которых будет возможно заключение дополнительных соглашений, осуществляется в соответствии с требованиями Регламента работы Администрации Ненецкого автономного округа, утвержденного п</w:t>
      </w: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остановлением Администрации Ненецкого автономного округа от 24.08.2015 № 266-п.</w:t>
      </w:r>
    </w:p>
    <w:p>
      <w:pPr>
        <w:pStyle w:val="Normal"/>
        <w:suppressAutoHyphens w:val="true"/>
        <w:bidi w:val="0"/>
        <w:spacing w:lineRule="auto" w:line="240" w:before="0" w:after="0"/>
        <w:ind w:firstLine="709" w:start="0" w:end="0"/>
        <w:jc w:val="both"/>
        <w:rPr/>
      </w:pPr>
      <w:r>
        <w:rPr>
          <w:rFonts w:eastAsia="" w:cs="" w:ascii="XO Thames" w:hAnsi="XO Thame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 xml:space="preserve">Вместе с тем при подготовке, рассмотрении, согласовании проектов таких решений, а также при принятии решений об их утверждении возникают сложности, поскольку обстоятельства, влекущие невозможность исполнения контракта, законодательно не установлены. Также не установлен перечень документов и информации, подтверждающих возникновение таких обстоятельств и критерии их оценки, порядок действий поставщиков (подрядчиков, исполнителей), заказчиков, а также главных распорядителей бюджетных средств, являющихся ответственными исполнителями государственных программ Ненецкого автономного округа. </w:t>
      </w:r>
    </w:p>
    <w:p>
      <w:pPr>
        <w:pStyle w:val="Style14"/>
        <w:ind w:firstLine="709" w:start="0" w:end="0"/>
        <w:jc w:val="both"/>
        <w:rPr/>
      </w:pPr>
      <w:r>
        <w:rPr>
          <w:rStyle w:val="Hyperlink"/>
          <w:rFonts w:ascii="XO Thames" w:hAnsi="XO Thame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В связи с этим на практике возникают ситуации позднего представления инициативы об изменении условий контракта и, в связи с этим, принятия Администрацией Ненецкого автономного округа решений </w:t>
      </w:r>
      <w:r>
        <w:rPr>
          <w:rStyle w:val="Hyperlink"/>
          <w:rFonts w:ascii="XO Thames" w:hAnsi="XO Thames"/>
          <w:color w:val="000000"/>
          <w:sz w:val="28"/>
          <w:szCs w:val="28"/>
          <w:u w:val="none"/>
        </w:rPr>
        <w:t xml:space="preserve">о продлении истекших контрактов, а также ситуаций, когда решения предлагается принять на основании описанных </w:t>
      </w:r>
      <w:r>
        <w:rPr>
          <w:rStyle w:val="Hyperlink"/>
          <w:rFonts w:eastAsia="" w:cs="" w:ascii="XO Thames" w:hAnsi="XO Thame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eastAsia="ru-RU"/>
        </w:rPr>
        <w:t>поставщиком (подрядчиком, исполнителем) фактических обстоятельств, влекущих невозможность исполнения контракта, не подтвержденных соответствующими документами либо документов, представленных, но не проанализированных главными распорядителями бюджетных средств, реализующими мероприятия, в целях исполнения которых был заключен контракт, а также исполнительными органами Ненецкого автономного округа, осуществляющими функции финансового органа Ненецкого автономного округа, функции  по нормативному правовому регулированию и реализации государственной политики в сфере осуществления контроля за соблюдением законодательства Российской Федерации и иных нормативных правовых актов о контрактной системе</w:t>
        <w:br/>
        <w:t>в сфере закупок товаров, работ, услуг для обеспечения государственных</w:t>
        <w:br/>
        <w:t>и муниципальных нужд, либо при отсутствии анализа соблюдения положений частей 1.3</w:t>
      </w:r>
      <w:r>
        <w:rPr>
          <w:rStyle w:val="Hyperlink"/>
          <w:rFonts w:eastAsia="XO Thames" w:cs="XO Thames" w:ascii="XO Thames" w:hAnsi="XO Thame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eastAsia="ru-RU"/>
        </w:rPr>
        <w:t>–</w:t>
      </w:r>
      <w:r>
        <w:rPr>
          <w:rStyle w:val="Hyperlink"/>
          <w:rFonts w:eastAsia="" w:cs="" w:ascii="XO Thames" w:hAnsi="XO Thame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eastAsia="ru-RU"/>
        </w:rPr>
        <w:t>1.6 статьи 95 Федерального закона от 05.04.2013 № 44-ФЗ.</w:t>
      </w:r>
    </w:p>
    <w:p>
      <w:pPr>
        <w:pStyle w:val="Normal"/>
        <w:suppressAutoHyphens w:val="true"/>
        <w:bidi w:val="0"/>
        <w:spacing w:lineRule="auto" w:line="240" w:before="0" w:after="0"/>
        <w:ind w:firstLine="709" w:start="0" w:end="0"/>
        <w:jc w:val="both"/>
        <w:rPr/>
      </w:pPr>
      <w:r>
        <w:rPr>
          <w:rFonts w:ascii="XO Thames" w:hAnsi="XO Thames"/>
          <w:color w:val="000000"/>
          <w:sz w:val="28"/>
          <w:szCs w:val="28"/>
          <w:lang w:eastAsia="ru-RU"/>
        </w:rPr>
        <w:t xml:space="preserve">Кроме этого, поручение о разработке нормативного правового акта, предусматривающего процедуру согласования заключения дополнительных соглашений по контрактам, при исполнении которых возникли независящие от его сторон обстоятельства, влекущие невозможность его исполнения, установлено </w:t>
      </w:r>
      <w:r>
        <w:rPr>
          <w:rFonts w:ascii="XO Thames" w:hAnsi="XO Thames"/>
          <w:b w:val="false"/>
          <w:bCs w:val="false"/>
          <w:color w:val="000000"/>
          <w:sz w:val="28"/>
          <w:szCs w:val="28"/>
          <w:lang w:eastAsia="ru-RU"/>
        </w:rPr>
        <w:t>подпунктом 1.4.2 пункта 1.4 протокола заседания постоянно действующего координационного совещания по обеспечению правопорядка</w:t>
        <w:br/>
        <w:t>в Ненецком автономном округе от 24.12.2025 № 4, по результатам рассмотрения информации о правонарушениях, выявляемых в ходе реализации на территории Ненецкого автономного округа национальных</w:t>
        <w:br/>
        <w:t>и федеральных проектов, и утверждено распоряжением губернатора Ненецкого автономного округа от 05.02.2026 № 25-рг.</w:t>
      </w:r>
    </w:p>
    <w:p>
      <w:pPr>
        <w:pStyle w:val="Normal"/>
        <w:suppressAutoHyphens w:val="true"/>
        <w:bidi w:val="0"/>
        <w:spacing w:lineRule="auto" w:line="240" w:before="0" w:after="0"/>
        <w:ind w:firstLine="709" w:start="0" w:end="0"/>
        <w:jc w:val="both"/>
        <w:rPr/>
      </w:pPr>
      <w:r>
        <w:rPr>
          <w:rFonts w:ascii="XO Thames" w:hAnsi="XO Thames"/>
          <w:b w:val="false"/>
          <w:bCs w:val="false"/>
          <w:color w:val="000000"/>
          <w:sz w:val="28"/>
          <w:szCs w:val="28"/>
          <w:lang w:eastAsia="ru-RU"/>
        </w:rPr>
        <w:t>2. </w:t>
      </w:r>
      <w:r>
        <w:rPr>
          <w:color w:val="000000"/>
          <w:sz w:val="28"/>
        </w:rPr>
        <w:t>Цели предлагаемого правового регулирования:</w:t>
      </w:r>
    </w:p>
    <w:p>
      <w:pPr>
        <w:pStyle w:val="ConsPlusNonformat1"/>
        <w:widowControl/>
        <w:tabs>
          <w:tab w:val="clear" w:pos="709"/>
          <w:tab w:val="left" w:pos="1134" w:leader="none"/>
        </w:tabs>
        <w:ind w:firstLine="709" w:start="0" w:end="0"/>
        <w:jc w:val="both"/>
        <w:rPr/>
      </w:pPr>
      <w:r>
        <w:rPr>
          <w:rFonts w:ascii="Times New Roman" w:hAnsi="Times New Roman"/>
          <w:sz w:val="28"/>
        </w:rPr>
        <w:t>Разработка нормативного правового акта обеспечит единообразный подход к согласованию соответствующими исполнительными органами Ненецкого автономного округа, в том числе курирующими реализацию национальных проектов на территории Ненецкого автономного округа, проектов решений Администрации Ненецкого автономного округа, предусмотренных ч</w:t>
      </w:r>
      <w:r>
        <w:rPr>
          <w:rFonts w:ascii="XO Thames" w:hAnsi="XO Thames"/>
          <w:b w:val="false"/>
          <w:bCs w:val="false"/>
          <w:sz w:val="28"/>
          <w:szCs w:val="28"/>
          <w:lang w:eastAsia="ru-RU"/>
        </w:rPr>
        <w:t>астью 65.1 статьи 112 Федерального закона от 05.04.2013 № 44-ФЗ,</w:t>
      </w:r>
      <w:r>
        <w:rPr>
          <w:rFonts w:ascii="Times New Roman" w:hAnsi="Times New Roman"/>
          <w:sz w:val="28"/>
        </w:rPr>
        <w:t xml:space="preserve"> на основании которых сторонами контракта будет осуществляться заключение дополнительных соглашений.</w:t>
      </w:r>
    </w:p>
    <w:p>
      <w:pPr>
        <w:pStyle w:val="ConsPlusNonformat1"/>
        <w:widowControl/>
        <w:tabs>
          <w:tab w:val="clear" w:pos="709"/>
          <w:tab w:val="left" w:pos="1134" w:leader="none"/>
        </w:tabs>
        <w:ind w:firstLine="709" w:start="0" w:end="0"/>
        <w:jc w:val="both"/>
        <w:rPr/>
      </w:pPr>
      <w:r>
        <w:rPr>
          <w:rFonts w:ascii="XO Thames" w:hAnsi="XO Thames"/>
          <w:sz w:val="28"/>
          <w:szCs w:val="28"/>
        </w:rPr>
        <w:t>3. Действующие нормативные правовые акты, поручения, другие решения, из которых вытекает необходимость предлагаемого правового регулирования:</w:t>
      </w:r>
    </w:p>
    <w:p>
      <w:pPr>
        <w:pStyle w:val="Normal"/>
        <w:ind w:firstLine="709" w:start="0" w:end="0"/>
        <w:jc w:val="both"/>
        <w:rPr/>
      </w:pPr>
      <w:r>
        <w:rPr>
          <w:rStyle w:val="Hyperlink"/>
          <w:rFonts w:ascii="XO Thames" w:hAnsi="XO Thame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Федеральный закон от 05.04.2013 № 44-ФЗ «О контрактной системе</w:t>
        <w:br/>
        <w:t>в сфере закупок товаров, работ, услуг для обеспечения государственных</w:t>
        <w:br/>
        <w:t>и муниципальных нужд» (часть 2 статьи 94, часть 1 статьи 101, ч</w:t>
      </w:r>
      <w:r>
        <w:rPr>
          <w:rStyle w:val="Hyperlink"/>
          <w:rFonts w:ascii="XO Thames" w:hAnsi="XO Thame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eastAsia="ru-RU"/>
        </w:rPr>
        <w:t>асть 65.1 статьи 112);</w:t>
      </w:r>
    </w:p>
    <w:p>
      <w:pPr>
        <w:pStyle w:val="Normal"/>
        <w:suppressAutoHyphens w:val="true"/>
        <w:bidi w:val="0"/>
        <w:spacing w:lineRule="auto" w:line="240" w:before="0" w:after="0"/>
        <w:ind w:firstLine="709" w:start="0" w:end="0"/>
        <w:jc w:val="both"/>
        <w:rPr/>
      </w:pPr>
      <w:r>
        <w:rPr>
          <w:rStyle w:val="Hyperlink"/>
          <w:rFonts w:ascii="XO Thames" w:hAnsi="XO Thame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eastAsia="ru-RU"/>
        </w:rPr>
        <w:t>подпункт 1.4.2 пункта 1.4 протокола заседания постоянно действующего координационного совещания по обеспечению правопорядка в Ненецком автономном округе от 24.12.2025 № 4.</w:t>
      </w:r>
    </w:p>
    <w:p>
      <w:pPr>
        <w:pStyle w:val="ConsPlusNonformat1"/>
        <w:widowControl/>
        <w:tabs>
          <w:tab w:val="clear" w:pos="709"/>
          <w:tab w:val="left" w:pos="1134" w:leader="none"/>
        </w:tabs>
        <w:ind w:firstLine="709" w:start="0" w:end="0"/>
        <w:jc w:val="both"/>
        <w:rPr/>
      </w:pPr>
      <w:r>
        <w:rPr>
          <w:rFonts w:ascii="Times New Roman" w:hAnsi="Times New Roman"/>
          <w:sz w:val="28"/>
        </w:rPr>
        <w:t>4. Планируемый срок вступления в силу предлагаемого правового регулирования: 15 мая 2026 года.</w:t>
      </w:r>
    </w:p>
    <w:p>
      <w:pPr>
        <w:pStyle w:val="ConsPlusNonformat1"/>
        <w:widowControl/>
        <w:ind w:firstLine="709" w:start="0" w:end="0"/>
        <w:jc w:val="both"/>
        <w:rPr/>
      </w:pPr>
      <w:r>
        <w:rPr>
          <w:rFonts w:ascii="Times New Roman" w:hAnsi="Times New Roman"/>
          <w:sz w:val="28"/>
        </w:rPr>
        <w:t>5. Сведения о необходимости или отсутствии необходимости установления переходного периода: отсутствует необходимость.</w:t>
      </w:r>
    </w:p>
    <w:p>
      <w:pPr>
        <w:pStyle w:val="ConsPlusNonformat1"/>
        <w:widowControl/>
        <w:tabs>
          <w:tab w:val="clear" w:pos="709"/>
          <w:tab w:val="left" w:pos="1134" w:leader="none"/>
        </w:tabs>
        <w:ind w:firstLine="709" w:start="0" w:end="0"/>
        <w:jc w:val="both"/>
        <w:rPr/>
      </w:pPr>
      <w:r>
        <w:rPr>
          <w:rFonts w:ascii="Times New Roman" w:hAnsi="Times New Roman"/>
          <w:sz w:val="28"/>
        </w:rPr>
        <w:t>6. Сравнение возможных вариантов решения проблемы:</w:t>
      </w:r>
    </w:p>
    <w:tbl>
      <w:tblPr>
        <w:tblStyle w:val="Style_6"/>
        <w:tblW w:w="9354" w:type="dxa"/>
        <w:jc w:val="start"/>
        <w:tblInd w:w="0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4677"/>
        <w:gridCol w:w="4676"/>
      </w:tblGrid>
      <w:tr>
        <w:trPr/>
        <w:tc>
          <w:tcPr>
            <w:tcW w:w="4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1"/>
              <w:widowControl/>
              <w:suppressAutoHyphens w:val="true"/>
              <w:ind w:hanging="0" w:start="0" w:end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Вариант 1</w:t>
            </w:r>
          </w:p>
        </w:tc>
        <w:tc>
          <w:tcPr>
            <w:tcW w:w="4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1"/>
              <w:widowControl/>
              <w:suppressAutoHyphens w:val="true"/>
              <w:ind w:hanging="0" w:start="0" w:end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Вариант 2</w:t>
            </w:r>
          </w:p>
        </w:tc>
      </w:tr>
      <w:tr>
        <w:trPr/>
        <w:tc>
          <w:tcPr>
            <w:tcW w:w="935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1"/>
              <w:suppressAutoHyphens w:val="true"/>
              <w:ind w:hanging="0" w:start="0" w:end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Содержание варианта:</w:t>
            </w:r>
          </w:p>
        </w:tc>
      </w:tr>
      <w:tr>
        <w:trPr/>
        <w:tc>
          <w:tcPr>
            <w:tcW w:w="4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1"/>
              <w:suppressAutoHyphens w:val="true"/>
              <w:ind w:hanging="0" w:start="0" w:end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Разработка Порядка подготовки проектов решений об изменении существенных условий контрактов, при исполнении которых возникли независящие от сторон контракта обстоятельства, влекущие невозможность их исполнения</w:t>
            </w:r>
          </w:p>
        </w:tc>
        <w:tc>
          <w:tcPr>
            <w:tcW w:w="4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1"/>
              <w:suppressAutoHyphens w:val="true"/>
              <w:ind w:hanging="0" w:start="0" w:end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Невмешательство</w:t>
            </w:r>
          </w:p>
        </w:tc>
      </w:tr>
      <w:tr>
        <w:trPr/>
        <w:tc>
          <w:tcPr>
            <w:tcW w:w="935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1"/>
              <w:suppressAutoHyphens w:val="true"/>
              <w:ind w:hanging="0" w:start="0" w:end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Качественная характеристика и оценка динамики численности потенциальных адресатов предлагаемого варианта в среднесрочном периоде (1</w:t>
            </w:r>
            <w:r>
              <w:rPr>
                <w:rFonts w:eastAsia="XO Thames" w:cs="XO Thames" w:ascii="XO Thames" w:hAnsi="XO Thames"/>
                <w:spacing w:val="0"/>
                <w:kern w:val="0"/>
                <w:sz w:val="28"/>
                <w:szCs w:val="20"/>
              </w:rPr>
              <w:t>–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 года):</w:t>
            </w:r>
          </w:p>
        </w:tc>
      </w:tr>
      <w:tr>
        <w:trPr/>
        <w:tc>
          <w:tcPr>
            <w:tcW w:w="4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1"/>
              <w:suppressAutoHyphens w:val="true"/>
              <w:ind w:hanging="0" w:start="0" w:end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Субъекты малого и среднего предпринимательства</w:t>
            </w:r>
          </w:p>
        </w:tc>
        <w:tc>
          <w:tcPr>
            <w:tcW w:w="4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1"/>
              <w:suppressAutoHyphens w:val="true"/>
              <w:ind w:hanging="0" w:start="0" w:end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Оценка невозможна</w:t>
            </w:r>
          </w:p>
        </w:tc>
      </w:tr>
      <w:tr>
        <w:trPr/>
        <w:tc>
          <w:tcPr>
            <w:tcW w:w="935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1"/>
              <w:suppressAutoHyphens w:val="true"/>
              <w:ind w:hanging="0" w:start="0" w:end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Оценка дополнительных расходов (доходов) потенциальных адресатов предлагаемого варианта, связанных с его введением:</w:t>
            </w:r>
          </w:p>
        </w:tc>
      </w:tr>
      <w:tr>
        <w:trPr/>
        <w:tc>
          <w:tcPr>
            <w:tcW w:w="4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1"/>
              <w:suppressAutoHyphens w:val="true"/>
              <w:ind w:hanging="0" w:start="0" w:end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Возможны расходы</w:t>
            </w:r>
          </w:p>
          <w:p>
            <w:pPr>
              <w:pStyle w:val="ConsPlusNormal1"/>
              <w:suppressAutoHyphens w:val="true"/>
              <w:ind w:hanging="0" w:start="0" w:end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 случае получения заключения</w:t>
            </w:r>
          </w:p>
          <w:p>
            <w:pPr>
              <w:pStyle w:val="ConsPlusNormal1"/>
              <w:suppressAutoHyphens w:val="true"/>
              <w:ind w:hanging="0" w:start="0" w:end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 обстоятельствах непреодолимой силы по контракту</w:t>
            </w:r>
          </w:p>
          <w:p>
            <w:pPr>
              <w:pStyle w:val="ConsPlusNormal1"/>
              <w:suppressAutoHyphens w:val="true"/>
              <w:ind w:hanging="0" w:start="0" w:end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 соответствии с постановлением Совета Торгово-промышленной палаты Российской Федерации</w:t>
            </w:r>
          </w:p>
          <w:p>
            <w:pPr>
              <w:pStyle w:val="ConsPlusNormal1"/>
              <w:suppressAutoHyphens w:val="true"/>
              <w:ind w:hanging="0" w:start="0" w:end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 24.06.2021 № 7-2</w:t>
            </w:r>
          </w:p>
          <w:p>
            <w:pPr>
              <w:pStyle w:val="ConsPlusNormal1"/>
              <w:suppressAutoHyphens w:val="true"/>
              <w:ind w:hanging="0" w:start="0" w:end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«Об утверждении Положения</w:t>
            </w:r>
          </w:p>
          <w:p>
            <w:pPr>
              <w:pStyle w:val="ConsPlusNormal1"/>
              <w:suppressAutoHyphens w:val="true"/>
              <w:ind w:hanging="0" w:start="0" w:end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 свидетельствовании уполномоченными</w:t>
            </w:r>
          </w:p>
          <w:p>
            <w:pPr>
              <w:pStyle w:val="ConsPlusNormal1"/>
              <w:suppressAutoHyphens w:val="true"/>
              <w:ind w:hanging="0" w:start="0" w:end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торгово-промышленными палатами обстоятельств непреодолимой силы по договорам (контрактам), заключенным в рамках внутрироссийской экономической деятельности»</w:t>
            </w:r>
          </w:p>
        </w:tc>
        <w:tc>
          <w:tcPr>
            <w:tcW w:w="4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ind w:hanging="0" w:start="0" w:end="0"/>
              <w:jc w:val="start"/>
              <w:rPr>
                <w:rFonts w:ascii="XO Thames" w:hAnsi="XO Thames"/>
                <w:color w:val="000000"/>
                <w:sz w:val="22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</w:rPr>
              <w:t>В соответствии с тарифами, устанавливаемыми приказами Торгово-промышленной палаты Российской Федерации</w:t>
            </w:r>
          </w:p>
          <w:p>
            <w:pPr>
              <w:pStyle w:val="Normal"/>
              <w:suppressAutoHyphens w:val="true"/>
              <w:ind w:hanging="0" w:start="0" w:end="0"/>
              <w:jc w:val="start"/>
              <w:rPr>
                <w:rFonts w:ascii="XO Thames" w:hAnsi="XO Thames"/>
                <w:color w:val="000000"/>
                <w:sz w:val="22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</w:rPr>
              <w:t>(п</w:t>
            </w: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риказом Торгово-промышленной палаты Российской Федерации</w:t>
            </w:r>
          </w:p>
          <w:p>
            <w:pPr>
              <w:pStyle w:val="Normal"/>
              <w:suppressAutoHyphens w:val="true"/>
              <w:ind w:hanging="0" w:start="0" w:end="0"/>
              <w:jc w:val="start"/>
              <w:rPr>
                <w:rFonts w:ascii="XO Thames" w:hAnsi="XO Thames"/>
                <w:color w:val="000000"/>
                <w:sz w:val="22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от 28.01.2026 № 08</w:t>
            </w:r>
          </w:p>
          <w:p>
            <w:pPr>
              <w:pStyle w:val="Normal"/>
              <w:suppressAutoHyphens w:val="true"/>
              <w:ind w:hanging="0" w:start="0" w:end="0"/>
              <w:jc w:val="start"/>
              <w:rPr>
                <w:rFonts w:ascii="XO Thames" w:hAnsi="XO Thames"/>
                <w:color w:val="000000"/>
                <w:sz w:val="22"/>
              </w:rPr>
            </w:pPr>
            <w:r>
              <w:rPr>
                <w:rFonts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с 1 февраля 2026 года установлен тариф за р</w:t>
            </w:r>
            <w:r>
              <w:rPr>
                <w:rFonts w:ascii="XO Thames" w:hAnsi="XO Thames"/>
                <w:color w:val="000000"/>
                <w:spacing w:val="0"/>
                <w:kern w:val="0"/>
                <w:sz w:val="28"/>
                <w:szCs w:val="28"/>
              </w:rPr>
              <w:t>ассмотрение заявления</w:t>
            </w:r>
          </w:p>
          <w:p>
            <w:pPr>
              <w:pStyle w:val="Normal"/>
              <w:suppressAutoHyphens w:val="true"/>
              <w:ind w:hanging="0" w:start="0" w:end="0"/>
              <w:jc w:val="start"/>
              <w:rPr>
                <w:rFonts w:ascii="XO Thames" w:hAnsi="XO Thames"/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8"/>
                <w:szCs w:val="28"/>
              </w:rPr>
              <w:t>о свидетельствовании обстоятельств непреодолимой силы и прилагаемых к нему документов в размере</w:t>
            </w:r>
          </w:p>
          <w:p>
            <w:pPr>
              <w:pStyle w:val="Normal"/>
              <w:suppressAutoHyphens w:val="true"/>
              <w:ind w:hanging="0" w:start="0" w:end="0"/>
              <w:jc w:val="start"/>
              <w:rPr>
                <w:rFonts w:ascii="XO Thames" w:hAnsi="XO Thames"/>
                <w:color w:val="000000"/>
                <w:sz w:val="22"/>
              </w:rPr>
            </w:pPr>
            <w:bookmarkStart w:id="0" w:name="p_16"/>
            <w:bookmarkEnd w:id="0"/>
            <w:r>
              <w:rPr>
                <w:rFonts w:ascii="XO Thames" w:hAnsi="XO Thames"/>
                <w:color w:val="000000"/>
                <w:sz w:val="28"/>
                <w:szCs w:val="28"/>
              </w:rPr>
              <w:t>20 500 руб.</w:t>
            </w:r>
          </w:p>
          <w:p>
            <w:pPr>
              <w:pStyle w:val="ConsPlusNormal1"/>
              <w:suppressAutoHyphens w:val="true"/>
              <w:ind w:hanging="0" w:start="0" w:end="0"/>
              <w:rPr>
                <w:rFonts w:ascii="XO Thames" w:hAnsi="XO Thames"/>
                <w:spacing w:val="0"/>
                <w:kern w:val="0"/>
                <w:sz w:val="28"/>
                <w:szCs w:val="28"/>
              </w:rPr>
            </w:pPr>
            <w:r>
              <w:rPr>
                <w:rFonts w:ascii="XO Thames" w:hAnsi="XO Thames"/>
                <w:spacing w:val="0"/>
                <w:kern w:val="0"/>
                <w:sz w:val="28"/>
                <w:szCs w:val="28"/>
              </w:rPr>
            </w:r>
          </w:p>
        </w:tc>
      </w:tr>
      <w:tr>
        <w:trPr/>
        <w:tc>
          <w:tcPr>
            <w:tcW w:w="935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1"/>
              <w:suppressAutoHyphens w:val="true"/>
              <w:ind w:hanging="0" w:start="0" w:end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Оценка расходов (доходов) окружного бюджета, связанных с введением предлагаемого варианта:</w:t>
            </w:r>
          </w:p>
        </w:tc>
      </w:tr>
      <w:tr>
        <w:trPr/>
        <w:tc>
          <w:tcPr>
            <w:tcW w:w="4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1"/>
              <w:suppressAutoHyphens w:val="true"/>
              <w:ind w:hanging="0" w:start="0" w:end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Необходимость в дополнительных средствах из окружного бюджета отсутствует</w:t>
            </w:r>
          </w:p>
        </w:tc>
        <w:tc>
          <w:tcPr>
            <w:tcW w:w="4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1"/>
              <w:suppressAutoHyphens w:val="true"/>
              <w:ind w:hanging="0" w:start="0" w:end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Необходимость в дополнительных средствах из окружного бюджета отсутствует</w:t>
            </w:r>
          </w:p>
        </w:tc>
      </w:tr>
      <w:tr>
        <w:trPr/>
        <w:tc>
          <w:tcPr>
            <w:tcW w:w="4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1"/>
              <w:suppressAutoHyphens w:val="true"/>
              <w:ind w:hanging="0" w:start="0" w:end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Дополнительные доходы окружного бюджета отсутствуют</w:t>
            </w:r>
          </w:p>
        </w:tc>
        <w:tc>
          <w:tcPr>
            <w:tcW w:w="4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1"/>
              <w:suppressAutoHyphens w:val="true"/>
              <w:ind w:hanging="0" w:start="0" w:end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Дополнительные доходы окружного бюджета отсутствуют</w:t>
            </w:r>
          </w:p>
        </w:tc>
      </w:tr>
      <w:tr>
        <w:trPr/>
        <w:tc>
          <w:tcPr>
            <w:tcW w:w="935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1"/>
              <w:suppressAutoHyphens w:val="true"/>
              <w:ind w:hanging="0" w:start="0" w:end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Оценка возможности достижения заявленных целей предлагаемого правового регулирования посредством применения рассматриваемых вариантов:</w:t>
            </w:r>
          </w:p>
        </w:tc>
      </w:tr>
      <w:tr>
        <w:trPr/>
        <w:tc>
          <w:tcPr>
            <w:tcW w:w="4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1"/>
              <w:suppressAutoHyphens w:val="true"/>
              <w:ind w:hanging="0" w:start="0" w:end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Цель установления единообразного подхода к согласованию соответствующими исполнительными органами Ненецкого автономного округа проектов решений Администрации Ненецкого автономного округа, предусмотренных ч</w:t>
            </w:r>
            <w:r>
              <w:rPr>
                <w:rFonts w:ascii="XO Thames" w:hAnsi="XO Thames"/>
                <w:b w:val="false"/>
                <w:bCs w:val="false"/>
                <w:spacing w:val="0"/>
                <w:kern w:val="0"/>
                <w:sz w:val="28"/>
                <w:szCs w:val="28"/>
                <w:lang w:eastAsia="ru-RU"/>
              </w:rPr>
              <w:t>астью 65.1</w:t>
            </w:r>
          </w:p>
          <w:p>
            <w:pPr>
              <w:pStyle w:val="ConsPlusNormal1"/>
              <w:suppressAutoHyphens w:val="true"/>
              <w:ind w:hanging="0" w:start="0" w:end="0"/>
              <w:rPr>
                <w:rFonts w:ascii="Times New Roman" w:hAnsi="Times New Roman"/>
                <w:sz w:val="28"/>
              </w:rPr>
            </w:pPr>
            <w:r>
              <w:rPr>
                <w:rFonts w:ascii="XO Thames" w:hAnsi="XO Thames"/>
                <w:b w:val="false"/>
                <w:bCs w:val="false"/>
                <w:spacing w:val="0"/>
                <w:kern w:val="0"/>
                <w:sz w:val="28"/>
                <w:szCs w:val="28"/>
                <w:lang w:eastAsia="ru-RU"/>
              </w:rPr>
              <w:t>статьи 112 Федерального закона</w:t>
            </w:r>
          </w:p>
          <w:p>
            <w:pPr>
              <w:pStyle w:val="ConsPlusNormal1"/>
              <w:suppressAutoHyphens w:val="true"/>
              <w:ind w:hanging="0" w:start="0" w:end="0"/>
              <w:rPr>
                <w:rFonts w:ascii="Times New Roman" w:hAnsi="Times New Roman"/>
                <w:sz w:val="28"/>
              </w:rPr>
            </w:pPr>
            <w:r>
              <w:rPr>
                <w:rFonts w:ascii="XO Thames" w:hAnsi="XO Thames"/>
                <w:b w:val="false"/>
                <w:bCs w:val="false"/>
                <w:spacing w:val="0"/>
                <w:kern w:val="0"/>
                <w:sz w:val="28"/>
                <w:szCs w:val="28"/>
                <w:lang w:eastAsia="ru-RU"/>
              </w:rPr>
              <w:t>от 05.04.2013 № 44-ФЗ,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 xml:space="preserve"> </w:t>
            </w:r>
          </w:p>
          <w:p>
            <w:pPr>
              <w:pStyle w:val="ConsPlusNormal1"/>
              <w:suppressAutoHyphens w:val="true"/>
              <w:ind w:hanging="0" w:start="0" w:end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 xml:space="preserve">на основании которых сторонами контракта будет осуществляться заключение дополнительных соглашений по контрактам, </w:t>
            </w:r>
          </w:p>
          <w:p>
            <w:pPr>
              <w:pStyle w:val="ConsPlusNormal1"/>
              <w:suppressAutoHyphens w:val="true"/>
              <w:ind w:hanging="0" w:start="0" w:end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будет достигнута в полном объеме</w:t>
            </w:r>
          </w:p>
        </w:tc>
        <w:tc>
          <w:tcPr>
            <w:tcW w:w="4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1"/>
              <w:suppressAutoHyphens w:val="true"/>
              <w:ind w:hanging="0" w:start="0" w:end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Цель не будет достигнута</w:t>
            </w:r>
          </w:p>
        </w:tc>
      </w:tr>
      <w:tr>
        <w:trPr/>
        <w:tc>
          <w:tcPr>
            <w:tcW w:w="935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1"/>
              <w:suppressAutoHyphens w:val="true"/>
              <w:ind w:hanging="0" w:start="0" w:end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Оценка рисков неблагоприятных последствий:</w:t>
            </w:r>
          </w:p>
        </w:tc>
      </w:tr>
      <w:tr>
        <w:trPr/>
        <w:tc>
          <w:tcPr>
            <w:tcW w:w="4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1"/>
              <w:suppressAutoHyphens w:val="true"/>
              <w:ind w:hanging="0" w:start="0" w:end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Риск неблагоприятных последствий отсутствует</w:t>
            </w:r>
          </w:p>
        </w:tc>
        <w:tc>
          <w:tcPr>
            <w:tcW w:w="4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1"/>
              <w:suppressAutoHyphens w:val="true"/>
              <w:ind w:hanging="0" w:start="0" w:end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Оценка невозможна</w:t>
            </w:r>
          </w:p>
        </w:tc>
      </w:tr>
    </w:tbl>
    <w:p>
      <w:pPr>
        <w:pStyle w:val="ConsPlusNonformat1"/>
        <w:widowControl/>
        <w:tabs>
          <w:tab w:val="clear" w:pos="709"/>
          <w:tab w:val="left" w:pos="1134" w:leader="none"/>
        </w:tabs>
        <w:ind w:firstLine="709" w:start="0" w:end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 Обоснование выбора предпочтительного варианта: реализация первого варианта позволит обеспечить всестороннее рассмотрение документов, представленных поставщиками (подрядчиками, исполнителями), подготовку дополнительных обосновывающих документов заказчиками, единые требования к документам, на основании которых будут приниматься решения о возможности изменений условий контрактов, что в итоге позволит обеспечить с</w:t>
      </w:r>
      <w:r>
        <w:rPr>
          <w:rFonts w:eastAsia="Noto Serif CJK SC" w:cs="FreeSans" w:ascii="Times New Roman" w:hAnsi="Times New Roman"/>
          <w:sz w:val="28"/>
        </w:rPr>
        <w:t>нижение количества правонарушений (в том числе коррупционного характера), выявляемых в ходе реализации на территории Ненецкого автономного округа национальных и федеральных проектов.</w:t>
      </w:r>
    </w:p>
    <w:p>
      <w:pPr>
        <w:pStyle w:val="ConsPlusNonformat1"/>
        <w:widowControl/>
        <w:tabs>
          <w:tab w:val="clear" w:pos="709"/>
          <w:tab w:val="left" w:pos="1134" w:leader="none"/>
          <w:tab w:val="left" w:pos="1276" w:leader="none"/>
        </w:tabs>
        <w:ind w:firstLine="709" w:start="0" w:end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 Иная информация об идее предлагаемого правового регулирования: отсутствует.</w:t>
      </w:r>
    </w:p>
    <w:p>
      <w:pPr>
        <w:pStyle w:val="ConsPlusNonformat1"/>
        <w:widowControl/>
        <w:tabs>
          <w:tab w:val="clear" w:pos="709"/>
          <w:tab w:val="left" w:pos="1134" w:leader="none"/>
          <w:tab w:val="left" w:pos="1276" w:leader="none"/>
        </w:tabs>
        <w:ind w:firstLine="709" w:start="0" w:end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 Ответственное лицо: главный консультант правового сектора организационно-правового управления Департамента строительства, жилищно-коммунального хозяйства, энергетики и транспорта Ненецкого автономного округа, Филатова Елена Вячеславовна.</w:t>
      </w:r>
    </w:p>
    <w:p>
      <w:pPr>
        <w:pStyle w:val="ConsPlusNonformat1"/>
        <w:widowControl/>
        <w:tabs>
          <w:tab w:val="clear" w:pos="709"/>
          <w:tab w:val="left" w:pos="1276" w:leader="none"/>
        </w:tabs>
        <w:ind w:firstLine="709" w:start="0" w:end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Контактные данные: тел. 8 (81853) 2-12-15, efilatova</w:t>
      </w:r>
      <w:hyperlink r:id="rId4">
        <w:r>
          <w:rPr>
            <w:rStyle w:val="Style4"/>
            <w:rFonts w:ascii="Times New Roman" w:hAnsi="Times New Roman"/>
            <w:sz w:val="28"/>
          </w:rPr>
          <w:t>@adm-nao.ru</w:t>
        </w:r>
      </w:hyperlink>
      <w:r>
        <w:rPr>
          <w:rFonts w:ascii="Times New Roman" w:hAnsi="Times New Roman"/>
          <w:sz w:val="28"/>
        </w:rPr>
        <w:t xml:space="preserve">. </w:t>
      </w:r>
    </w:p>
    <w:p>
      <w:pPr>
        <w:pStyle w:val="BodyText"/>
        <w:widowControl/>
        <w:tabs>
          <w:tab w:val="clear" w:pos="709"/>
          <w:tab w:val="left" w:pos="1276" w:leader="none"/>
        </w:tabs>
        <w:spacing w:lineRule="auto" w:line="240" w:before="0" w:after="0"/>
        <w:ind w:hanging="0" w:start="0" w:end="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ConsPlusNonformat1"/>
        <w:widowControl/>
        <w:tabs>
          <w:tab w:val="clear" w:pos="709"/>
          <w:tab w:val="left" w:pos="1276" w:leader="none"/>
        </w:tabs>
        <w:spacing w:lineRule="auto" w:line="240" w:before="0" w:after="0"/>
        <w:ind w:hanging="0" w:start="0" w:end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nformat1"/>
        <w:widowControl/>
        <w:tabs>
          <w:tab w:val="clear" w:pos="709"/>
          <w:tab w:val="left" w:pos="1276" w:leader="none"/>
        </w:tabs>
        <w:spacing w:lineRule="auto" w:line="240" w:before="0" w:after="0"/>
        <w:ind w:hanging="0" w:start="0" w:end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701" w:right="850" w:gutter="0" w:header="1134" w:top="1560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Segoe UI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jc w:val="center"/>
      <w:rPr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3</w:t>
    </w:r>
    <w:r>
      <w:rPr>
        <w:sz w:val="20"/>
        <w:szCs w:val="20"/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efaultTabStop w:val="709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oto Serif CJK SC" w:cs="FreeSans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Noto Serif CJK SC" w:cs="FreeSans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basedOn w:val="Normal"/>
    <w:uiPriority w:val="9"/>
    <w:qFormat/>
    <w:pPr>
      <w:widowControl/>
      <w:spacing w:beforeAutospacing="1" w:afterAutospacing="1"/>
      <w:outlineLvl w:val="0"/>
    </w:pPr>
    <w:rPr>
      <w:b/>
      <w:sz w:val="48"/>
    </w:rPr>
  </w:style>
  <w:style w:type="paragraph" w:styleId="Heading2">
    <w:name w:val="heading 2"/>
    <w:basedOn w:val="Normal"/>
    <w:next w:val="Normal"/>
    <w:uiPriority w:val="9"/>
    <w:qFormat/>
    <w:pPr>
      <w:keepNext w:val="true"/>
      <w:keepLines/>
      <w:widowControl/>
      <w:spacing w:lineRule="auto" w:line="259" w:before="40" w:after="0"/>
      <w:outlineLvl w:val="1"/>
    </w:pPr>
    <w:rPr>
      <w:rFonts w:ascii="Calibri Light" w:hAnsi="Calibri Light" w:asciiTheme="majorAscii" w:hAnsiTheme="majorHAnsi"/>
      <w:color w:themeColor="accent1" w:themeShade="bf" w:val="2E75B5"/>
      <w:sz w:val="26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start="0" w:end="0"/>
      <w:jc w:val="both"/>
      <w:outlineLvl w:val="2"/>
    </w:pPr>
    <w:rPr>
      <w:rFonts w:ascii="XO Thames" w:hAnsi="XO Thames" w:eastAsia="Noto Serif CJK SC" w:cs="Free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start="0" w:end="0"/>
      <w:jc w:val="both"/>
      <w:outlineLvl w:val="3"/>
    </w:pPr>
    <w:rPr>
      <w:rFonts w:ascii="XO Thames" w:hAnsi="XO Thames" w:eastAsia="Noto Serif CJK SC" w:cs="Free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start="0" w:end="0"/>
      <w:jc w:val="both"/>
      <w:outlineLvl w:val="4"/>
    </w:pPr>
    <w:rPr>
      <w:rFonts w:ascii="XO Thames" w:hAnsi="XO Thames" w:eastAsia="Noto Serif CJK SC" w:cs="Free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2">
    <w:name w:val="Заголовок 2 Знак"/>
    <w:basedOn w:val="DefaultParagraphFont"/>
    <w:link w:val="21"/>
    <w:qFormat/>
    <w:rPr>
      <w:rFonts w:ascii="Calibri Light" w:hAnsi="Calibri Light" w:asciiTheme="majorAscii" w:hAnsiTheme="majorHAnsi"/>
      <w:color w:themeColor="accent1" w:themeShade="bf" w:val="2E75B5"/>
      <w:sz w:val="26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Header1">
    <w:name w:val="Header1"/>
    <w:qFormat/>
    <w:rPr>
      <w:rFonts w:ascii="Calibri" w:hAnsi="Calibri" w:asciiTheme="minorAscii" w:hAnsiTheme="minorHAnsi"/>
      <w:sz w:val="22"/>
    </w:rPr>
  </w:style>
  <w:style w:type="character" w:styleId="DefaultParagraphFont">
    <w:name w:val="Default Paragraph Font"/>
    <w:link w:val="DefaultParagraphFont1"/>
    <w:qFormat/>
    <w:rPr/>
  </w:style>
  <w:style w:type="character" w:styleId="Textbody">
    <w:name w:val="Text body"/>
    <w:qFormat/>
    <w:rPr/>
  </w:style>
  <w:style w:type="character" w:styleId="List1">
    <w:name w:val="List1"/>
    <w:basedOn w:val="Textbody"/>
    <w:qFormat/>
    <w:rPr>
      <w:rFonts w:ascii="PT Astra Serif" w:hAnsi="PT Astra Serif"/>
    </w:rPr>
  </w:style>
  <w:style w:type="character" w:styleId="BalloonText">
    <w:name w:val="Balloon Text"/>
    <w:link w:val="BalloonText1"/>
    <w:qFormat/>
    <w:rPr>
      <w:rFonts w:ascii="Segoe UI" w:hAnsi="Segoe UI"/>
      <w:sz w:val="18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Footer1">
    <w:name w:val="Footer1"/>
    <w:qFormat/>
    <w:rPr>
      <w:rFonts w:ascii="Calibri" w:hAnsi="Calibri" w:asciiTheme="minorAscii" w:hAnsiTheme="minorHAnsi"/>
      <w:sz w:val="22"/>
    </w:rPr>
  </w:style>
  <w:style w:type="character" w:styleId="ConsPlusNormal">
    <w:name w:val="ConsPlusNormal"/>
    <w:link w:val="ConsPlusNormal1"/>
    <w:qFormat/>
    <w:rPr>
      <w:rFonts w:ascii="Calibri" w:hAnsi="Calibri" w:asciiTheme="minorAscii" w:hAnsiTheme="minorHAnsi"/>
      <w:color w:val="000000"/>
      <w:sz w:val="22"/>
    </w:rPr>
  </w:style>
  <w:style w:type="character" w:styleId="Caption1">
    <w:name w:val="Caption1"/>
    <w:qFormat/>
    <w:rPr>
      <w:rFonts w:ascii="PT Astra Serif" w:hAnsi="PT Astra Serif"/>
      <w:i/>
      <w:sz w:val="24"/>
    </w:rPr>
  </w:style>
  <w:style w:type="character" w:styleId="Style9">
    <w:name w:val="Указатель"/>
    <w:link w:val="111112"/>
    <w:qFormat/>
    <w:rPr>
      <w:rFonts w:ascii="PT Astra Serif" w:hAnsi="PT Astra Serif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Style10">
    <w:name w:val="Верхний колонтитул Знак"/>
    <w:basedOn w:val="DefaultParagraphFont"/>
    <w:link w:val="13"/>
    <w:qFormat/>
    <w:rPr/>
  </w:style>
  <w:style w:type="character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styleId="Heading11">
    <w:name w:val="Heading 11"/>
    <w:qFormat/>
    <w:rPr>
      <w:b/>
      <w:sz w:val="48"/>
    </w:rPr>
  </w:style>
  <w:style w:type="character" w:styleId="Style11">
    <w:name w:val="Заголовок"/>
    <w:link w:val="111111"/>
    <w:qFormat/>
    <w:rPr>
      <w:rFonts w:ascii="PT Astra Serif" w:hAnsi="PT Astra Serif"/>
      <w:sz w:val="28"/>
    </w:rPr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tyle12">
    <w:name w:val="Нижний колонтитул Знак"/>
    <w:basedOn w:val="DefaultParagraphFont"/>
    <w:link w:val="14"/>
    <w:qFormat/>
    <w:rPr/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1">
    <w:name w:val="Заголовок 1 Знак"/>
    <w:basedOn w:val="DefaultParagraphFont"/>
    <w:link w:val="113"/>
    <w:qFormat/>
    <w:rPr>
      <w:rFonts w:ascii="Times New Roman" w:hAnsi="Times New Roman"/>
      <w:b/>
      <w:sz w:val="48"/>
    </w:rPr>
  </w:style>
  <w:style w:type="character" w:styleId="Heading21">
    <w:name w:val="Heading 21"/>
    <w:qFormat/>
    <w:rPr>
      <w:rFonts w:ascii="Calibri Light" w:hAnsi="Calibri Light" w:asciiTheme="majorAscii" w:hAnsiTheme="majorHAnsi"/>
      <w:color w:themeColor="accent1" w:themeShade="bf" w:val="2E75B5"/>
      <w:sz w:val="26"/>
    </w:rPr>
  </w:style>
  <w:style w:type="character" w:styleId="ConsPlusTitle">
    <w:name w:val="ConsPlusTitle"/>
    <w:link w:val="ConsPlusTitle1"/>
    <w:qFormat/>
    <w:rPr>
      <w:rFonts w:ascii="Times New Roman" w:hAnsi="Times New Roman"/>
      <w:b/>
      <w:color w:val="000000"/>
      <w:sz w:val="24"/>
    </w:rPr>
  </w:style>
  <w:style w:type="paragraph" w:styleId="1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widowControl/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qFormat/>
    <w:pPr>
      <w:widowControl/>
      <w:spacing w:before="120" w:after="120"/>
    </w:pPr>
    <w:rPr>
      <w:rFonts w:ascii="PT Astra Serif" w:hAnsi="PT Astra Serif"/>
      <w:i/>
      <w:sz w:val="24"/>
    </w:rPr>
  </w:style>
  <w:style w:type="paragraph" w:styleId="12">
    <w:name w:val="Указатель1"/>
    <w:basedOn w:val="Normal"/>
    <w:qFormat/>
    <w:pPr>
      <w:suppressLineNumbers/>
    </w:pPr>
    <w:rPr>
      <w:rFonts w:ascii="PT Astra Serif" w:hAnsi="PT Astra Serif" w:cs="FreeSans"/>
    </w:rPr>
  </w:style>
  <w:style w:type="paragraph" w:styleId="111">
    <w:name w:val="Заголовок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112">
    <w:name w:val="Указатель11"/>
    <w:basedOn w:val="Normal"/>
    <w:qFormat/>
    <w:pPr>
      <w:suppressLineNumbers/>
    </w:pPr>
    <w:rPr>
      <w:rFonts w:ascii="PT Astra Serif" w:hAnsi="PT Astra Serif" w:cs="FreeSans"/>
    </w:rPr>
  </w:style>
  <w:style w:type="paragraph" w:styleId="1111">
    <w:name w:val="Заголовок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1112">
    <w:name w:val="Указатель111"/>
    <w:basedOn w:val="Normal"/>
    <w:qFormat/>
    <w:pPr>
      <w:suppressLineNumbers/>
    </w:pPr>
    <w:rPr>
      <w:rFonts w:ascii="PT Astra Serif" w:hAnsi="PT Astra Serif" w:cs="FreeSans"/>
    </w:rPr>
  </w:style>
  <w:style w:type="paragraph" w:styleId="11111">
    <w:name w:val="Заголовок1111"/>
    <w:basedOn w:val="Normal"/>
    <w:next w:val="BodyText"/>
    <w:qFormat/>
    <w:pPr>
      <w:keepNext w:val="true"/>
      <w:widowControl/>
      <w:spacing w:before="240" w:after="120"/>
    </w:pPr>
    <w:rPr>
      <w:rFonts w:ascii="PT Astra Serif" w:hAnsi="PT Astra Serif"/>
      <w:sz w:val="28"/>
    </w:rPr>
  </w:style>
  <w:style w:type="paragraph" w:styleId="11112">
    <w:name w:val="Указатель1111"/>
    <w:basedOn w:val="Normal"/>
    <w:qFormat/>
    <w:pPr/>
    <w:rPr>
      <w:rFonts w:ascii="PT Astra Serif" w:hAnsi="PT Astra Serif"/>
    </w:rPr>
  </w:style>
  <w:style w:type="paragraph" w:styleId="111111">
    <w:name w:val="Заголовок11111"/>
    <w:basedOn w:val="Normal"/>
    <w:next w:val="BodyText"/>
    <w:qFormat/>
    <w:pPr>
      <w:keepNext w:val="true"/>
      <w:widowControl/>
      <w:spacing w:before="240" w:after="120"/>
    </w:pPr>
    <w:rPr>
      <w:rFonts w:ascii="PT Astra Serif" w:hAnsi="PT Astra Serif"/>
      <w:sz w:val="28"/>
    </w:rPr>
  </w:style>
  <w:style w:type="paragraph" w:styleId="111112">
    <w:name w:val="Указатель11111"/>
    <w:basedOn w:val="Normal"/>
    <w:qFormat/>
    <w:pPr/>
    <w:rPr>
      <w:rFonts w:ascii="PT Astra Serif" w:hAnsi="PT Astra Serif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200" w:end="0"/>
      <w:jc w:val="star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600" w:end="0"/>
      <w:jc w:val="star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1000" w:end="0"/>
      <w:jc w:val="star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1200" w:end="0"/>
      <w:jc w:val="star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21">
    <w:name w:val="Заголовок 2 Знак1"/>
    <w:basedOn w:val="DefaultParagraphFont1"/>
    <w:link w:val="2"/>
    <w:qFormat/>
    <w:pPr/>
    <w:rPr>
      <w:rFonts w:ascii="Calibri Light" w:hAnsi="Calibri Light" w:asciiTheme="majorAscii" w:hAnsiTheme="majorHAnsi"/>
      <w:color w:themeColor="accent1" w:themeShade="bf" w:val="2E75B5"/>
      <w:sz w:val="26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start="0" w:end="0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Style13">
    <w:name w:val="Колонтитулы"/>
    <w:basedOn w:val="Normal"/>
    <w:qFormat/>
    <w:pPr/>
    <w:rPr/>
  </w:style>
  <w:style w:type="paragraph" w:styleId="user">
    <w:name w:val="Колонтитулы (user)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09"/>
        <w:tab w:val="center" w:pos="4677" w:leader="none"/>
        <w:tab w:val="right" w:pos="9355" w:leader="none"/>
      </w:tabs>
    </w:pPr>
    <w:rPr>
      <w:rFonts w:ascii="Calibri" w:hAnsi="Calibri" w:asciiTheme="minorAscii" w:hAnsiTheme="minorHAnsi"/>
      <w:sz w:val="22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Noto Serif CJK SC" w:cs="Free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/>
    <w:rPr>
      <w:rFonts w:ascii="Segoe UI" w:hAnsi="Segoe UI"/>
      <w:sz w:val="18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400" w:end="0"/>
      <w:jc w:val="star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Footer">
    <w:name w:val="footer"/>
    <w:basedOn w:val="Normal"/>
    <w:pPr>
      <w:widowControl/>
      <w:tabs>
        <w:tab w:val="clear" w:pos="709"/>
        <w:tab w:val="center" w:pos="4677" w:leader="none"/>
        <w:tab w:val="right" w:pos="9355" w:leader="none"/>
      </w:tabs>
    </w:pPr>
    <w:rPr>
      <w:rFonts w:ascii="Calibri" w:hAnsi="Calibri" w:asciiTheme="minorAscii" w:hAnsiTheme="minorHAnsi"/>
      <w:sz w:val="22"/>
    </w:rPr>
  </w:style>
  <w:style w:type="paragraph" w:styleId="ConsPlusNormal1">
    <w:name w:val="ConsPlusNormal1"/>
    <w:link w:val="ConsPlusNormal"/>
    <w:qFormat/>
    <w:pPr>
      <w:widowControl w:val="false"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Noto Serif CJK SC" w:cs="Free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3">
    <w:name w:val="Верхний колонтитул Знак1"/>
    <w:basedOn w:val="DefaultParagraphFont1"/>
    <w:link w:val="Style10"/>
    <w:qFormat/>
    <w:pPr/>
    <w:rPr/>
  </w:style>
  <w:style w:type="paragraph" w:styleId="ConsPlusNonformat1">
    <w:name w:val="ConsPlusNonformat1"/>
    <w:link w:val="ConsPlusNonformat"/>
    <w:qFormat/>
    <w:pPr>
      <w:widowControl w:val="false"/>
      <w:suppressAutoHyphens w:val="true"/>
      <w:bidi w:val="0"/>
      <w:spacing w:lineRule="auto" w:line="240" w:before="0" w:after="0"/>
      <w:ind w:hanging="0" w:start="0" w:end="0"/>
      <w:jc w:val="start"/>
    </w:pPr>
    <w:rPr>
      <w:rFonts w:ascii="Courier New" w:hAnsi="Courier New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">
    <w:name w:val="Internet link"/>
    <w:basedOn w:val="DefaultParagraphFont1"/>
    <w:qFormat/>
    <w:pPr/>
    <w:rPr>
      <w:color w:themeColor="hyperlink" w:val="0563C1"/>
      <w:u w:val="single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start="0" w:end="0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1600" w:end="0"/>
      <w:jc w:val="star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1400" w:end="0"/>
      <w:jc w:val="star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800" w:end="0"/>
      <w:jc w:val="star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14">
    <w:name w:val="Нижний колонтитул Знак1"/>
    <w:basedOn w:val="DefaultParagraphFont1"/>
    <w:link w:val="Style12"/>
    <w:qFormat/>
    <w:pPr/>
    <w:rPr/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start="0" w:end="0"/>
      <w:jc w:val="both"/>
    </w:pPr>
    <w:rPr>
      <w:rFonts w:ascii="XO Thames" w:hAnsi="XO Thames" w:eastAsia="Noto Serif CJK SC" w:cs="Free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start="0" w:end="0"/>
      <w:jc w:val="center"/>
    </w:pPr>
    <w:rPr>
      <w:rFonts w:ascii="XO Thames" w:hAnsi="XO Thames" w:eastAsia="Noto Serif CJK SC" w:cs="Free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113">
    <w:name w:val="Заголовок 1 Знак1"/>
    <w:basedOn w:val="DefaultParagraphFont1"/>
    <w:link w:val="1"/>
    <w:qFormat/>
    <w:pPr/>
    <w:rPr>
      <w:rFonts w:ascii="Times New Roman" w:hAnsi="Times New Roman"/>
      <w:b/>
      <w:sz w:val="48"/>
    </w:rPr>
  </w:style>
  <w:style w:type="paragraph" w:styleId="ConsPlusTitle1">
    <w:name w:val="ConsPlusTitle1"/>
    <w:link w:val="ConsPlusTitle"/>
    <w:qFormat/>
    <w:pPr>
      <w:widowControl w:val="false"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Noto Serif CJK SC" w:cs="Free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Style14">
    <w:name w:val="Нормальный"/>
    <w:basedOn w:val="Normal"/>
    <w:qFormat/>
    <w:pPr/>
    <w:rPr/>
  </w:style>
  <w:style w:type="table" w:default="1" w:styleId="Style_6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lapina@adm-nao.ru" TargetMode="External"/><Relationship Id="rId3" Type="http://schemas.openxmlformats.org/officeDocument/2006/relationships/hyperlink" Target="https://derpi.adm-nao.ru/orv/" TargetMode="External"/><Relationship Id="rId4" Type="http://schemas.openxmlformats.org/officeDocument/2006/relationships/hyperlink" Target="mailto:olapina@adm-nao.ru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LibreOffice/25.2.6.2$Linux_X86_64 LibreOffice_project/520$Build-2</Application>
  <AppVersion>15.0000</AppVersion>
  <Pages>5</Pages>
  <Words>1152</Words>
  <Characters>8927</Characters>
  <CharactersWithSpaces>10019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2026-02-25T06:45:40Z</dcterms:created>
  <dc:creator/>
  <dc:description/>
  <dc:language>ru-RU</dc:language>
  <cp:lastModifiedBy/>
  <dcterms:modified xsi:type="dcterms:W3CDTF">2026-04-03T15:18:43Z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