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240" w:after="120"/>
        <w:ind w:hanging="0" w:left="0" w:right="0"/>
        <w:jc w:val="center"/>
        <w:outlineLvl w:val="0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0"/>
        </w:numPr>
        <w:spacing w:before="240" w:after="120"/>
        <w:ind w:hanging="0" w:left="0" w:right="0"/>
        <w:jc w:val="center"/>
        <w:outlineLvl w:val="0"/>
        <w:rPr>
          <w:sz w:val="26"/>
        </w:rPr>
      </w:pPr>
      <w:r>
        <w:rPr/>
        <w:drawing>
          <wp:inline distT="0" distB="0" distL="0" distR="0">
            <wp:extent cx="609600" cy="74295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Администрация Ненецкого автономного округа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spacing w:before="0" w:after="0"/>
        <w:rPr/>
      </w:pPr>
      <w:r>
        <w:rPr/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ind w:hanging="0" w:left="0" w:right="397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hanging="0" w:left="0" w:right="397"/>
        <w:jc w:val="center"/>
        <w:rPr>
          <w:sz w:val="28"/>
        </w:rPr>
      </w:pPr>
      <w:r>
        <w:rPr>
          <w:sz w:val="28"/>
        </w:rPr>
        <w:t>от ____________ 2026 г. № _____-п</w:t>
      </w:r>
    </w:p>
    <w:p>
      <w:pPr>
        <w:pStyle w:val="Normal"/>
        <w:ind w:hanging="0" w:left="0" w:right="397"/>
        <w:jc w:val="center"/>
        <w:rPr>
          <w:sz w:val="28"/>
        </w:rPr>
      </w:pPr>
      <w:r>
        <w:rPr>
          <w:sz w:val="28"/>
        </w:rPr>
        <w:t>г. Нарьян-Мар</w:t>
      </w:r>
    </w:p>
    <w:p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ind w:hanging="0" w:left="1560" w:right="1417"/>
        <w:jc w:val="center"/>
        <w:rPr>
          <w:b/>
          <w:sz w:val="28"/>
        </w:rPr>
      </w:pPr>
      <w:r>
        <w:rPr>
          <w:b/>
          <w:sz w:val="28"/>
        </w:rPr>
        <w:t>О внесении изменений в Положение о</w:t>
      </w:r>
      <w:r>
        <w:rPr>
          <w:rFonts w:ascii="XO Thames" w:hAnsi="XO Thames"/>
          <w:b/>
          <w:spacing w:val="0"/>
          <w:sz w:val="28"/>
        </w:rPr>
        <w:t> </w:t>
      </w:r>
      <w:r>
        <w:rPr>
          <w:b/>
          <w:sz w:val="28"/>
        </w:rPr>
        <w:t>региональном государственном контроле (надзоре) в области обращения с животными на</w:t>
      </w:r>
      <w:r>
        <w:rPr>
          <w:rFonts w:ascii="XO Thames" w:hAnsi="XO Thames"/>
          <w:b/>
          <w:spacing w:val="0"/>
          <w:sz w:val="28"/>
        </w:rPr>
        <w:t> </w:t>
      </w:r>
      <w:r>
        <w:rPr>
          <w:b/>
          <w:sz w:val="28"/>
        </w:rPr>
        <w:t>территории Ненецкого автономного округа</w:t>
      </w:r>
    </w:p>
    <w:p>
      <w:pPr>
        <w:pStyle w:val="Normal"/>
        <w:widowControl w:val="false"/>
        <w:ind w:hanging="0" w:left="1560" w:right="1417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widowControl w:val="false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</w:r>
    </w:p>
    <w:p>
      <w:pPr>
        <w:pStyle w:val="Normal"/>
        <w:spacing w:before="0" w:after="0"/>
        <w:ind w:firstLine="709" w:left="0" w:right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В соответствии со статьей 30 закона Ненецкого автономного округа</w:t>
        <w:br/>
        <w:t>от 03.02.2006 № 673-оз «О нормативных правовых актах Ненецкого автономного округа» Администрация Ненецкого автономного округа ПОСТАНОВЛЯЕТ: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983" w:leader="none"/>
        </w:tabs>
        <w:bidi w:val="0"/>
        <w:spacing w:lineRule="auto" w:line="240" w:before="0" w:after="0"/>
        <w:ind w:firstLine="680" w:left="0" w:right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Внести изменения в Положение о региональном государственном контроле (надзоре) в области обращения с животными на территории Ненецкого автономного округа, утвержденное постановлением Администрации Ненецкого автономного округа от 09.11.2021 № 272-п (с изменениями, внесенными постановлением Администрации Ненецкого автономного округа от 01.10.2025 № 258-п) согласно Приложению.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>
      <w:pPr>
        <w:pStyle w:val="Normal"/>
        <w:widowControl w:val="false"/>
        <w:ind w:firstLine="540" w:left="0" w:right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 w:val="false"/>
        <w:ind w:firstLine="540" w:left="0" w:right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 w:val="false"/>
        <w:ind w:firstLine="540" w:left="0" w:right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Губернатор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1" w:gutter="0" w:header="72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jc w:val="both"/>
        <w:rPr>
          <w:sz w:val="28"/>
        </w:rPr>
      </w:pPr>
      <w:r>
        <w:rPr>
          <w:sz w:val="28"/>
        </w:rPr>
        <w:t>Ненецкого автономного округа                                                               И.А. Гехт</w:t>
      </w:r>
    </w:p>
    <w:p>
      <w:pPr>
        <w:pStyle w:val="Normal"/>
        <w:widowControl w:val="false"/>
        <w:ind w:hanging="0" w:left="5103" w:right="0"/>
        <w:rPr>
          <w:sz w:val="28"/>
        </w:rPr>
      </w:pPr>
      <w:r>
        <w:rPr>
          <w:sz w:val="28"/>
        </w:rPr>
        <w:t xml:space="preserve">Приложение к постановлению Администрации </w:t>
      </w:r>
    </w:p>
    <w:p>
      <w:pPr>
        <w:pStyle w:val="Normal"/>
        <w:widowControl w:val="false"/>
        <w:ind w:hanging="0" w:left="5103" w:right="0"/>
        <w:rPr>
          <w:sz w:val="28"/>
        </w:rPr>
      </w:pPr>
      <w:r>
        <w:rPr>
          <w:sz w:val="28"/>
        </w:rPr>
        <w:t>Ненецкого автономного округа</w:t>
      </w:r>
    </w:p>
    <w:p>
      <w:pPr>
        <w:pStyle w:val="Normal"/>
        <w:widowControl w:val="false"/>
        <w:ind w:hanging="0" w:left="5103" w:right="0"/>
        <w:rPr>
          <w:sz w:val="28"/>
        </w:rPr>
      </w:pPr>
      <w:r>
        <w:rPr>
          <w:sz w:val="28"/>
        </w:rPr>
        <w:t>от ___________ № ____-п</w:t>
      </w:r>
    </w:p>
    <w:p>
      <w:pPr>
        <w:pStyle w:val="Normal"/>
        <w:widowControl w:val="false"/>
        <w:ind w:hanging="0" w:left="5103" w:right="0"/>
        <w:rPr>
          <w:sz w:val="28"/>
        </w:rPr>
      </w:pPr>
      <w:r>
        <w:rPr>
          <w:sz w:val="28"/>
        </w:rPr>
        <w:t xml:space="preserve">«О внесении изменений </w:t>
        <w:br/>
        <w:t>в Положение о региональном государственном контроле (надзоре) в области обращения с животными на территории Ненецкого автономного округа»</w:t>
      </w:r>
    </w:p>
    <w:p>
      <w:pPr>
        <w:pStyle w:val="Normal"/>
        <w:numPr>
          <w:ilvl w:val="0"/>
          <w:numId w:val="0"/>
        </w:numPr>
        <w:ind w:hanging="0" w:left="5103" w:right="0"/>
        <w:jc w:val="center"/>
        <w:outlineLvl w:val="0"/>
        <w:rPr>
          <w:sz w:val="28"/>
        </w:rPr>
      </w:pPr>
      <w:r>
        <w:rPr>
          <w:sz w:val="28"/>
        </w:rPr>
      </w:r>
    </w:p>
    <w:p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  <w:br/>
        <w:t xml:space="preserve">в Положение о региональном </w:t>
      </w:r>
    </w:p>
    <w:p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государственном контроле (надзоре) </w:t>
      </w:r>
    </w:p>
    <w:p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области обращения с животными </w:t>
      </w:r>
    </w:p>
    <w:p>
      <w:pPr>
        <w:pStyle w:val="ConsPlusTitle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Ненецкого автономного округа </w:t>
        <w:br/>
      </w:r>
    </w:p>
    <w:p>
      <w:pPr>
        <w:pStyle w:val="Normal"/>
        <w:widowControl/>
        <w:tabs>
          <w:tab w:val="clear" w:pos="720"/>
          <w:tab w:val="left" w:pos="1017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 xml:space="preserve">1. Пункт 14 </w:t>
      </w:r>
      <w:bookmarkStart w:id="0" w:name="p_24"/>
      <w:bookmarkEnd w:id="0"/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дополнить предложением следующего содержания:</w:t>
      </w:r>
    </w:p>
    <w:p>
      <w:pPr>
        <w:pStyle w:val="BodyText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 xml:space="preserve">2. Пункт 35 после слов «после получения предостережения подать» дополнить словами «, в том числе посредством единого портала государственных и муниципальных услуг </w:t>
      </w:r>
      <w:r>
        <w:rPr>
          <w:rFonts w:ascii="XO Thames" w:hAnsi="XO Thames"/>
          <w:color w:val="000000"/>
          <w:sz w:val="28"/>
          <w:szCs w:val="28"/>
        </w:rPr>
        <w:t>или регионального портала государственных и муниципальных услуг</w:t>
      </w:r>
      <w:r>
        <w:rPr>
          <w:rFonts w:ascii="XO Thames" w:hAnsi="XO Thames"/>
          <w:color w:val="000000"/>
          <w:sz w:val="28"/>
          <w:szCs w:val="28"/>
        </w:rPr>
        <w:t>,».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 xml:space="preserve">3. Пункт 38 после слов «по обращениям контролируемых лиц и их представителей» дополнить словами «, направленных в том числе посредством единого портала государственных и муниципальных услуг </w:t>
      </w:r>
      <w:r>
        <w:rPr>
          <w:rFonts w:ascii="XO Thames" w:hAnsi="XO Thames"/>
          <w:color w:val="000000"/>
          <w:sz w:val="28"/>
          <w:szCs w:val="28"/>
        </w:rPr>
        <w:t>или регионального портала государственных и муниципальных услуг</w:t>
      </w:r>
      <w:r>
        <w:rPr>
          <w:rFonts w:ascii="XO Thames" w:hAnsi="XO Thames"/>
          <w:color w:val="000000"/>
          <w:sz w:val="28"/>
          <w:szCs w:val="28"/>
        </w:rPr>
        <w:t>,».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 xml:space="preserve">4. Пункт 39 после слов «посредством видео-конференц-связи,» дополнить словами «использования мобильного приложения «Инспектор,». 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>5. Дополнить пунктом 48.2 следующего содержания: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>«48.2.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248-ФЗ».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>6. Дополнить пунктом 58.1. следующего содержания: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>«58.1. В рамках инспекционного визита осмотр, опрос могут осуществляться с использованием средств дистанционного взаимодействия, в том числе посредством видео-конференц-связи, а также с использованием мобильного приложения «Инспектор».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>Фотосъемка и видеозапись при проведении осмотра в рамках инспекционного визита осуществляется с использованием мобильного приложения «Инспектор».».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>7. Пункт 60 изложить в следующей редакции: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«60.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>
      <w:pPr>
        <w:pStyle w:val="Normal"/>
        <w:widowControl/>
        <w:tabs>
          <w:tab w:val="clear" w:pos="720"/>
          <w:tab w:val="left" w:pos="1083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8. Пункт 60.1. изложить в следующей редакции: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«60.1. При проведении рейдового осмотра проверочные листы, утвержденные приказом Департамента, подлежат обязательному применению.».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9. Пункт 60.2. изложить в следующей редакции: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«60.2. </w:t>
      </w:r>
      <w:bookmarkStart w:id="1" w:name="p_333"/>
      <w:bookmarkEnd w:id="1"/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ходе рейдового осмотра могут совершаться следующие контрольные (надзорные) действия: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1) осмотр;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2) досмотр;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3) опрос;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4) получение письменных объяснений;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5) истребование документов.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>В рамках рейдового осмотра осмотр, допрос, опрос может осуществляться с использованием средств дистанционного взаимодействия, в том числе посредством видео-конференц-связи, а также с использованием мобильного приложения «Инспектор».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>Фотосъемка и видеозапись при проведении осмотра в рамках рейдового осмотра осуществляется с использованием мобильного приложения «Инспектор».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>Видеозапись при проведении досмотра в рамках рейдового осмотра осуществляется с использованием мобильного приложения «Инспектор».».</w:t>
      </w:r>
    </w:p>
    <w:p>
      <w:pPr>
        <w:pStyle w:val="Normal"/>
        <w:widowControl/>
        <w:tabs>
          <w:tab w:val="clear" w:pos="720"/>
          <w:tab w:val="left" w:pos="1183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10. Пункт 62 изложить в следующей редакции: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83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«62. Документарная проверка проводится по месту нахождения Департамента. Предметом документарной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 связанные с исполнением ими обязательных требований и решений Департамента.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83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Департамента,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государственного контроля (надзора), муниципального контроля.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83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Документы могут предоставляться контролируемыми лицами с использованием единого портала государственных и муниципальных услуг,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регионального портала государственных и муниципальных услуг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или мобильного приложения «Инспектор».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83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имеющихся в распоряжении у Департамента сведений и документов недостаточно, то в ходе документарной проверки могут совершаться следующие контрольные (надзорные) действия: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83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1) получение письменных объяснений;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183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2) истребование документов.».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11. Пункт 64 изложить в следующей редакции: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«64.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12. Пункт 64.1. изложить в следующей редакции: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«64.1. В ходе выездной проверки могут совершаться следующие контрольные (надзорные) действия: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1) осмотр;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2) досмотр;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3) опрос;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4) получение письменных объяснений;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5) истребование документов.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рамках выездной проверки осмотр, допрос, опрос может осуществляться с использованием средств дистанционного взаимодействия, в том числе посредством видео-конференц-связи, а также с использованием мобильного приложения «Инспектор».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color w:val="000000"/>
          <w:sz w:val="28"/>
          <w:szCs w:val="28"/>
        </w:rPr>
        <w:t>Фотосъемка и видеозапись при проведении осмотра в рамках выездной проверки осуществляется с использованием мобильного приложения «Инспектор».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Видеозапись при проведении досмотра в рамках выездной проверки осуществляется с использованием мобильного приложения «Инспектор».».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13. Пункт 64.2. изложить в следующей редакции: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«64.2. При проведении плановой выездной проверки проверочные листы, утвержденные приказом Департамента, подлежат обязательному применению.».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14. Абзац третий пункта 65 исключить.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15. В абзаце первом пункта 79 слова «проведение обязательных профилактических визитов» исключить.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16. Пункт 79.1. после слов «обязательный профилактический визит» дополнить словами «, но не более одного раза в год».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17. Пункт 82.1. после слов «параметрам, утвержденным» дополнить словами «перечнями», слова «индикаторами» заменить словами «индикаторов».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18. В пункте 84 слова «иные способы фиксации доказательств» заменить словами «а также мобильное приложение «Инспектор»».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19. Пункт 85.1. исключить.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20. Пункт 90 дополнить абзацем пятым следующего содержания: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деяствия в рамках специального режима государственного контроля (надзора), предписания об устранении выявленных нарушений оформляются в порядке, установленном частью 1.1 статьи 21 Федерального закона № 248</w:t>
        <w:noBreakHyphen/>
        <w:t>ФЗ.».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XO Thames" w:hAnsi="XO Thame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21. В подпункте 5 пункта 92 слово «обязательных» исключить. 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XO Thames" w:hAnsi="XO Thame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22. Пункт 94 после слов «единого портала государственных и муниципальных услуг» дополнить словами «или регионального портала государственных и муниципальных услуг».</w:t>
      </w:r>
    </w:p>
    <w:p>
      <w:pPr>
        <w:pStyle w:val="Normal"/>
        <w:widowControl/>
        <w:tabs>
          <w:tab w:val="clear" w:pos="720"/>
          <w:tab w:val="left" w:pos="114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XO Thames" w:hAnsi="XO Thame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23. Пункт 108 после слов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«едино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портал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государственных и муниципальных услуг» дополнить словами «или регионально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портал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государственных и муниципальных услуг».</w:t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hanging="0" w:left="0" w:right="0"/>
        <w:jc w:val="both"/>
        <w:rPr>
          <w:rFonts w:ascii="XO Thames" w:hAnsi="XO Thames"/>
          <w:b w:val="false"/>
          <w:i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1140" w:leader="none"/>
        </w:tabs>
        <w:spacing w:lineRule="auto" w:line="240" w:before="0" w:after="0"/>
        <w:ind w:hanging="0" w:left="0" w:right="0"/>
        <w:jc w:val="both"/>
        <w:rPr>
          <w:rFonts w:ascii="PT Serif;serif" w:hAnsi="PT Serif;serif"/>
          <w:b w:val="false"/>
          <w:i w:val="false"/>
          <w:i w:val="false"/>
          <w:caps w:val="false"/>
          <w:smallCaps w:val="false"/>
          <w:color w:val="22272F"/>
          <w:spacing w:val="0"/>
          <w:sz w:val="23"/>
        </w:rPr>
      </w:pPr>
      <w:r>
        <w:rPr>
          <w:rFonts w:ascii="PT Serif;serif" w:hAnsi="PT Serif;serif"/>
          <w:b w:val="false"/>
          <w:i w:val="false"/>
          <w:caps w:val="false"/>
          <w:smallCaps w:val="false"/>
          <w:color w:val="22272F"/>
          <w:spacing w:val="0"/>
          <w:sz w:val="23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_____________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851" w:gutter="0" w:header="720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Serif">
    <w:altName w:val="serif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00" w:after="28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spacing w:before="240" w:after="120"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spacing w:before="0" w:after="480"/>
      <w:ind w:firstLine="1134" w:left="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qFormat/>
    <w:pPr>
      <w:keepNext w:val="true"/>
      <w:spacing w:before="0" w:after="480"/>
      <w:jc w:val="both"/>
      <w:outlineLvl w:val="3"/>
    </w:pPr>
    <w:rPr>
      <w:sz w:val="28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9">
    <w:name w:val="Указатель"/>
    <w:link w:val="111111112"/>
    <w:qFormat/>
    <w:rPr>
      <w:rFonts w:ascii="PT Astra Serif" w:hAnsi="PT Astra Serif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Textbody">
    <w:name w:val="Text body"/>
    <w:qFormat/>
    <w:rPr>
      <w:sz w:val="28"/>
    </w:rPr>
  </w:style>
  <w:style w:type="character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b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ConsNormal">
    <w:name w:val="ConsNormal"/>
    <w:link w:val="ConsNormal1"/>
    <w:qFormat/>
    <w:rPr>
      <w:rFonts w:ascii="Arial" w:hAnsi="Arial"/>
      <w:color w:val="000000"/>
      <w:sz w:val="20"/>
    </w:rPr>
  </w:style>
  <w:style w:type="character" w:styleId="DefaultParagraphFont">
    <w:name w:val="Default Paragraph Font"/>
    <w:link w:val="DefaultParagraphFont1"/>
    <w:qFormat/>
    <w:rPr/>
  </w:style>
  <w:style w:type="character" w:styleId="PlaceholderText">
    <w:name w:val="Placeholder Text"/>
    <w:basedOn w:val="DefaultParagraphFont"/>
    <w:link w:val="PlaceholderText1"/>
    <w:qFormat/>
    <w:rPr>
      <w:color w:val="808080"/>
    </w:rPr>
  </w:style>
  <w:style w:type="character" w:styleId="ConsNonformat">
    <w:name w:val="ConsNonformat"/>
    <w:link w:val="ConsNonformat1"/>
    <w:qFormat/>
    <w:rPr>
      <w:rFonts w:ascii="Courier New" w:hAnsi="Courier New"/>
      <w:color w:val="000000"/>
      <w:sz w:val="2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0">
    <w:name w:val="Верхний колонтитул Знак"/>
    <w:basedOn w:val="DefaultParagraphFont"/>
    <w:link w:val="12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b/>
      <w:sz w:val="28"/>
    </w:rPr>
  </w:style>
  <w:style w:type="character" w:styleId="Style11">
    <w:name w:val="Колонтитул"/>
    <w:link w:val="13"/>
    <w:qFormat/>
    <w:rPr/>
  </w:style>
  <w:style w:type="character" w:styleId="Footer1">
    <w:name w:val="Footer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BodyTextIndent2">
    <w:name w:val="Body Text Indent 2"/>
    <w:link w:val="BodyTextIndent21"/>
    <w:qFormat/>
    <w:rPr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Textbodyindent">
    <w:name w:val="Text body indent"/>
    <w:qFormat/>
    <w:rPr/>
  </w:style>
  <w:style w:type="character" w:styleId="ListParagraph">
    <w:name w:val="List Paragraph"/>
    <w:link w:val="ListParagraph1"/>
    <w:qFormat/>
    <w:rPr/>
  </w:style>
  <w:style w:type="character" w:styleId="Header1">
    <w:name w:val="Header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sz w:val="28"/>
    </w:rPr>
  </w:style>
  <w:style w:type="character" w:styleId="ConsTitle">
    <w:name w:val="ConsTitle"/>
    <w:link w:val="ConsTitle1"/>
    <w:qFormat/>
    <w:rPr>
      <w:rFonts w:ascii="Arial" w:hAnsi="Arial"/>
      <w:b/>
      <w:color w:val="000000"/>
      <w:sz w:val="16"/>
    </w:rPr>
  </w:style>
  <w:style w:type="character" w:styleId="Heading21">
    <w:name w:val="Heading 21"/>
    <w:qFormat/>
    <w:rPr>
      <w:sz w:val="28"/>
    </w:rPr>
  </w:style>
  <w:style w:type="character" w:styleId="Style12">
    <w:name w:val="Заголовок"/>
    <w:link w:val="111111111"/>
    <w:qFormat/>
    <w:rPr>
      <w:rFonts w:ascii="PT Astra Serif" w:hAnsi="PT Astra Serif"/>
      <w:sz w:val="28"/>
    </w:rPr>
  </w:style>
  <w:style w:type="character" w:styleId="Emphasis">
    <w:name w:val="Emphasis"/>
    <w:qFormat/>
    <w:rPr>
      <w:i/>
      <w:i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ascii="PT Astra Serif" w:hAnsi="PT Astra Serif" w:cs="FreeSans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ascii="PT Astra Serif" w:hAnsi="PT Astra Serif" w:cs="FreeSans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>
      <w:rFonts w:ascii="PT Astra Serif" w:hAnsi="PT Astra Serif" w:cs="FreeSans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12">
    <w:name w:val="Указатель11111111"/>
    <w:basedOn w:val="Normal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sNormal1">
    <w:name w:val="ConsNormal1"/>
    <w:link w:val="ConsNormal"/>
    <w:qFormat/>
    <w:pPr>
      <w:widowControl w:val="false"/>
      <w:suppressAutoHyphens w:val="true"/>
      <w:bidi w:val="0"/>
      <w:spacing w:lineRule="auto" w:line="240" w:before="0" w:after="0"/>
      <w:ind w:firstLine="720" w:left="0" w:right="19772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PlaceholderText1">
    <w:name w:val="Placeholder Text1"/>
    <w:basedOn w:val="DefaultParagraphFont1"/>
    <w:link w:val="PlaceholderText"/>
    <w:qFormat/>
    <w:pPr/>
    <w:rPr>
      <w:color w:val="808080"/>
    </w:rPr>
  </w:style>
  <w:style w:type="paragraph" w:styleId="ConsNonformat1">
    <w:name w:val="ConsNonformat1"/>
    <w:link w:val="ConsNonformat"/>
    <w:qFormat/>
    <w:pPr>
      <w:widowControl w:val="false"/>
      <w:suppressAutoHyphens w:val="true"/>
      <w:bidi w:val="0"/>
      <w:spacing w:lineRule="auto" w:line="240" w:before="0" w:after="0"/>
      <w:ind w:hanging="0" w:left="0" w:right="19772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Верхний колонтитул Знак1"/>
    <w:basedOn w:val="DefaultParagraphFont1"/>
    <w:link w:val="Style10"/>
    <w:qFormat/>
    <w:pPr/>
    <w:rPr/>
  </w:style>
  <w:style w:type="paragraph" w:styleId="13">
    <w:name w:val="Колонтитул1"/>
    <w:link w:val="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ы"/>
    <w:basedOn w:val="Normal"/>
    <w:qFormat/>
    <w:pPr/>
    <w:rPr/>
  </w:style>
  <w:style w:type="paragraph" w:styleId="user">
    <w:name w:val="Колонтитулы (user)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21">
    <w:name w:val="Body Text Indent 21"/>
    <w:basedOn w:val="Normal"/>
    <w:link w:val="BodyTextIndent2"/>
    <w:qFormat/>
    <w:pPr>
      <w:spacing w:before="0" w:after="480"/>
      <w:ind w:firstLine="1134" w:left="0"/>
      <w:jc w:val="both"/>
    </w:pPr>
    <w:rPr>
      <w:sz w:val="28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">
    <w:name w:val="Body Text Indent"/>
    <w:basedOn w:val="Normal"/>
    <w:pPr>
      <w:spacing w:before="0" w:after="120"/>
      <w:ind w:hanging="0" w:left="283"/>
    </w:pPr>
    <w:rPr/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Title1">
    <w:name w:val="ConsTitle1"/>
    <w:link w:val="ConsTitle"/>
    <w:qFormat/>
    <w:pPr>
      <w:widowControl w:val="false"/>
      <w:suppressAutoHyphens w:val="true"/>
      <w:bidi w:val="0"/>
      <w:spacing w:lineRule="auto" w:line="240" w:before="0" w:after="0"/>
      <w:ind w:hanging="0" w:left="0" w:right="19772"/>
      <w:jc w:val="left"/>
    </w:pPr>
    <w:rPr>
      <w:rFonts w:ascii="Arial" w:hAnsi="Arial" w:eastAsia="Tahoma" w:cs="Noto Sans Devanagari"/>
      <w:b/>
      <w:color w:val="000000"/>
      <w:spacing w:val="0"/>
      <w:kern w:val="0"/>
      <w:sz w:val="16"/>
      <w:szCs w:val="20"/>
      <w:lang w:val="ru-RU" w:eastAsia="zh-CN" w:bidi="hi-IN"/>
    </w:rPr>
  </w:style>
  <w:style w:type="table" w:styleId="Style_42">
    <w:name w:val="Table Grid"/>
    <w:basedOn w:val="Style_43"/>
    <w:rPr>
      <w:rFonts w:asciiTheme="minorAscii" w:hAnsiTheme="minorHAnsi"/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44">
    <w:name w:val="Сетка таблицы1"/>
    <w:basedOn w:val="Style_4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4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Application>LibreOffice/25.2.6.2$Linux_X86_64 LibreOffice_project/520$Build-2</Application>
  <AppVersion>15.0000</AppVersion>
  <Pages>6</Pages>
  <Words>984</Words>
  <Characters>7397</Characters>
  <CharactersWithSpaces>8375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2026-04-30T15:31:57Z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