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nformat1"/>
        <w:jc w:val="center"/>
        <w:rPr>
          <w:rFonts w:ascii="Times New Roman" w:hAnsi="Times New Roman"/>
          <w:sz w:val="26"/>
        </w:rPr>
      </w:pPr>
      <w:r>
        <w:rPr>
          <w:rFonts w:ascii="Times New Roman" w:hAnsi="Times New Roman"/>
          <w:b/>
          <w:sz w:val="26"/>
        </w:rPr>
        <w:t>Уведомление</w:t>
        <w:br/>
        <w:t>о начале обсуждения идеи</w:t>
        <w:br/>
      </w:r>
      <w:r>
        <w:rPr>
          <w:rFonts w:ascii="Times New Roman" w:hAnsi="Times New Roman"/>
          <w:sz w:val="26"/>
        </w:rPr>
        <w:t>предлагаемого правового регулирования</w:t>
      </w:r>
    </w:p>
    <w:p>
      <w:pPr>
        <w:pStyle w:val="Normal"/>
        <w:spacing w:lineRule="auto" w:line="240" w:before="0" w:after="0"/>
        <w:rPr/>
      </w:pPr>
      <w:r>
        <w:rPr/>
      </w:r>
    </w:p>
    <w:p>
      <w:pPr>
        <w:pStyle w:val="Normal"/>
        <w:spacing w:lineRule="auto" w:line="240" w:before="0" w:after="0"/>
        <w:ind w:firstLine="709" w:left="0" w:right="0"/>
        <w:jc w:val="both"/>
        <w:rPr>
          <w:rFonts w:ascii="XO Thames" w:hAnsi="XO Thames"/>
          <w:sz w:val="26"/>
        </w:rPr>
      </w:pPr>
      <w:r>
        <w:rPr>
          <w:rFonts w:ascii="XO Thames" w:hAnsi="XO Thames"/>
          <w:sz w:val="26"/>
        </w:rPr>
        <w:t>Департамент труда и социальной защиты населения Ненецкого автономного округа извещает о начале обсуждения идеи предлагаемого правового регулирования и сборе предложений заинтересованных лиц по проекту постановления губернатора Ненецкого автономного округа «</w:t>
      </w:r>
      <w:r>
        <w:rPr>
          <w:rFonts w:ascii="XO Thames" w:hAnsi="XO Thames"/>
          <w:color w:val="000000"/>
          <w:spacing w:val="-1"/>
          <w:sz w:val="26"/>
        </w:rPr>
        <w:t>Об установлении на 2027 год запрета 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w:t>
        <w:br/>
        <w:t>на основании патентов, по отдельным видам экономической деятельности</w:t>
      </w:r>
      <w:r>
        <w:rPr>
          <w:rFonts w:ascii="XO Thames" w:hAnsi="XO Thames"/>
          <w:sz w:val="26"/>
        </w:rPr>
        <w:t>».</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Предложения принимаются по адресу: 166000. Ненецкий автономный округ,</w:t>
        <w:br/>
        <w:t xml:space="preserve">г. Нарьян-Мар, ул. Смидовича, д. 25, в часы работы: с 8.30 часов до 17.30 часов в рабочие дни, а также по адресу электронной почты: </w:t>
      </w:r>
      <w:r>
        <w:rPr>
          <w:rFonts w:ascii="Times New Roman" w:hAnsi="Times New Roman"/>
          <w:spacing w:val="-7"/>
          <w:sz w:val="26"/>
        </w:rPr>
        <w:t>nkalyanova</w:t>
      </w:r>
      <w:hyperlink r:id="rId2">
        <w:r>
          <w:rPr>
            <w:rStyle w:val="ListLabel1"/>
            <w:rFonts w:ascii="Times New Roman" w:hAnsi="Times New Roman"/>
            <w:color w:val="000000"/>
            <w:spacing w:val="-7"/>
            <w:sz w:val="26"/>
            <w:u w:val="none"/>
          </w:rPr>
          <w:t>@adm-nao.ru</w:t>
        </w:r>
      </w:hyperlink>
      <w:r>
        <w:rPr>
          <w:rFonts w:ascii="Times New Roman" w:hAnsi="Times New Roman"/>
          <w:sz w:val="26"/>
        </w:rPr>
        <w:t>.</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Срок приема предложений: в течении 5 рабочих дней со дня размещений уведомления.</w:t>
      </w:r>
    </w:p>
    <w:p>
      <w:pPr>
        <w:pStyle w:val="ConsPlusNonformat1"/>
        <w:ind w:firstLine="709" w:left="0" w:right="0"/>
        <w:jc w:val="both"/>
        <w:rPr>
          <w:rFonts w:ascii="Times New Roman" w:hAnsi="Times New Roman"/>
          <w:sz w:val="26"/>
        </w:rPr>
      </w:pPr>
      <w:r>
        <w:rPr>
          <w:rFonts w:ascii="Times New Roman" w:hAnsi="Times New Roman"/>
          <w:sz w:val="26"/>
        </w:rPr>
        <w:t>Сводка предложений будет размещена в информационно-телекоммуникационной сети «Интернет» по адресу:</w:t>
      </w:r>
      <w:r>
        <w:rPr>
          <w:rFonts w:ascii="Times New Roman" w:hAnsi="Times New Roman"/>
          <w:color w:val="000000"/>
          <w:sz w:val="26"/>
          <w:u w:val="none"/>
        </w:rPr>
        <w:t xml:space="preserve"> </w:t>
      </w:r>
      <w:hyperlink r:id="rId3">
        <w:r>
          <w:rPr>
            <w:rStyle w:val="ListLabel2"/>
            <w:rFonts w:ascii="Times New Roman" w:hAnsi="Times New Roman"/>
            <w:color w:val="000000"/>
            <w:sz w:val="26"/>
            <w:u w:val="none"/>
          </w:rPr>
          <w:t>https://derpi.adm-nao.ru/orv/</w:t>
        </w:r>
      </w:hyperlink>
      <w:r>
        <w:rPr>
          <w:rFonts w:ascii="Times New Roman" w:hAnsi="Times New Roman"/>
          <w:color w:val="000000"/>
          <w:sz w:val="26"/>
          <w:u w:val="none"/>
        </w:rPr>
        <w:t xml:space="preserve"> н</w:t>
      </w:r>
      <w:r>
        <w:rPr>
          <w:rFonts w:ascii="Times New Roman" w:hAnsi="Times New Roman"/>
          <w:sz w:val="26"/>
        </w:rPr>
        <w:t>е позднее 8 рабочих дней со дня окончания приема предложений.</w:t>
      </w:r>
    </w:p>
    <w:p>
      <w:pPr>
        <w:pStyle w:val="ConsPlusNonformat1"/>
        <w:tabs>
          <w:tab w:val="clear" w:pos="708"/>
          <w:tab w:val="left" w:pos="0" w:leader="none"/>
        </w:tabs>
        <w:ind w:firstLine="709" w:left="0" w:right="0"/>
        <w:jc w:val="both"/>
        <w:rPr>
          <w:rFonts w:ascii="Times New Roman" w:hAnsi="Times New Roman"/>
          <w:sz w:val="26"/>
        </w:rPr>
      </w:pPr>
      <w:r>
        <w:rPr>
          <w:rFonts w:ascii="Times New Roman" w:hAnsi="Times New Roman"/>
          <w:sz w:val="26"/>
        </w:rPr>
        <w:t xml:space="preserve">1. Описание проблемы, на решение которой направлено предлагаемое правовое регулирование: </w:t>
      </w:r>
    </w:p>
    <w:p>
      <w:pPr>
        <w:pStyle w:val="Normal"/>
        <w:spacing w:lineRule="auto" w:line="240" w:before="0" w:after="0"/>
        <w:ind w:firstLine="709" w:left="0" w:right="0"/>
        <w:jc w:val="both"/>
        <w:rPr>
          <w:rFonts w:ascii="Times New Roman" w:hAnsi="Times New Roman"/>
          <w:color w:val="1A1A1A"/>
          <w:sz w:val="26"/>
        </w:rPr>
      </w:pPr>
      <w:r>
        <w:rPr>
          <w:rFonts w:ascii="Times New Roman" w:hAnsi="Times New Roman"/>
          <w:color w:val="1A1A1A"/>
          <w:sz w:val="26"/>
        </w:rPr>
        <w:t>Проектом предлагается установить запрет на 2027 год 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 по экономической деятельности, предусмотренным Общероссийским классификатором видов экономической деятельности (ОК 029-2014 (КДЕС Ред. 2,) утвержденным приказом Федерального агентства по техническому регулированию</w:t>
        <w:br/>
        <w:t xml:space="preserve">и метрологии от 31 января 2014 года № 14-ст. </w:t>
      </w:r>
    </w:p>
    <w:p>
      <w:pPr>
        <w:pStyle w:val="Normal"/>
        <w:spacing w:lineRule="auto" w:line="240" w:before="0" w:after="0"/>
        <w:ind w:firstLine="709" w:left="0" w:right="0"/>
        <w:jc w:val="both"/>
        <w:rPr>
          <w:rFonts w:ascii="Times New Roman" w:hAnsi="Times New Roman"/>
          <w:color w:val="1A1A1A"/>
          <w:sz w:val="26"/>
        </w:rPr>
      </w:pPr>
      <w:r>
        <w:rPr>
          <w:rFonts w:ascii="Times New Roman" w:hAnsi="Times New Roman"/>
          <w:color w:val="1A1A1A"/>
          <w:sz w:val="26"/>
        </w:rPr>
        <w:t>К данным группам субъектов предпринимательской деятельности относятся хозяйствующие субъекты, осуществляющие деятельность по 23 видам экономической деятельности:</w:t>
      </w:r>
    </w:p>
    <w:p>
      <w:pPr>
        <w:pStyle w:val="Normal"/>
        <w:spacing w:lineRule="auto" w:line="240" w:before="0" w:after="0"/>
        <w:ind w:firstLine="709" w:left="0" w:right="0"/>
        <w:rPr>
          <w:rFonts w:ascii="Times New Roman" w:hAnsi="Times New Roman"/>
          <w:sz w:val="26"/>
        </w:rPr>
      </w:pPr>
      <w:r>
        <w:rPr>
          <w:rFonts w:ascii="Times New Roman" w:hAnsi="Times New Roman"/>
          <w:sz w:val="26"/>
        </w:rPr>
        <w:t>1) торговля розничная автомобильными деталями, узлами и принадлежностями</w:t>
        <w:br/>
        <w:t>(код 45.32);</w:t>
      </w:r>
    </w:p>
    <w:p>
      <w:pPr>
        <w:pStyle w:val="Normal"/>
        <w:spacing w:lineRule="auto" w:line="240" w:before="0" w:after="0"/>
        <w:ind w:firstLine="709" w:left="0" w:right="0"/>
        <w:rPr>
          <w:rFonts w:ascii="Times New Roman" w:hAnsi="Times New Roman"/>
          <w:sz w:val="26"/>
        </w:rPr>
      </w:pPr>
      <w:r>
        <w:rPr>
          <w:rFonts w:ascii="Times New Roman" w:hAnsi="Times New Roman"/>
          <w:sz w:val="26"/>
        </w:rPr>
        <w:t>2) торговля оптовая за вознаграждение или на договорной основе (код 46.1);</w:t>
      </w:r>
    </w:p>
    <w:p>
      <w:pPr>
        <w:pStyle w:val="Normal"/>
        <w:spacing w:lineRule="auto" w:line="240" w:before="0" w:after="0"/>
        <w:ind w:firstLine="709" w:left="0" w:right="0"/>
        <w:rPr>
          <w:rFonts w:ascii="Times New Roman" w:hAnsi="Times New Roman"/>
          <w:sz w:val="26"/>
        </w:rPr>
      </w:pPr>
      <w:r>
        <w:rPr>
          <w:rFonts w:ascii="Times New Roman" w:hAnsi="Times New Roman"/>
          <w:sz w:val="26"/>
        </w:rPr>
        <w:t>3) торговля оптовая фруктами и овощами (код 46.31);</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4) торговля розничная преимущественно пищевыми продуктами, включая напитки,</w:t>
        <w:br/>
        <w:t>и табачными изделиями в неспециализированных магазинах (код 47.11);</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5) торговля розничная фруктами и овощами в специализированных магазинах</w:t>
        <w:br/>
        <w:t>(код 47.21);</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6) торговля розничная мясом и мясом птицы, включая субпродукты</w:t>
        <w:br/>
        <w:t>в специализированных магазинах (код 47.22.1);</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7) торговля розничная хлебом и хлебобулочными изделиями и кондитерскими изделиями в специализированных магазинах (код 47.24);</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8) торговля розничная алкогольными напитками, включая пиво,</w:t>
        <w:br/>
        <w:t>в специализированных магазинах (код 47.25.1);</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9) торговля розничная молочными продуктами и яйцами в специализированных магазинах (код 47.29.31);</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10) деятельность сухопутного пассажирского транспорта: перевозки пассажиров</w:t>
        <w:br/>
        <w:t>в городском и пригородном сообщении (код 49.31);</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11) деятельность легкового такси и арендованных легковых автомобилей</w:t>
        <w:br/>
        <w:t>с водителем (код 49.32);</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12) деятельность прочего сухопутного пассажирского транспорта,</w:t>
        <w:br/>
        <w:t xml:space="preserve">не включенная в другие группировки (код 49.39); </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13) деятельность автомобильного грузового транспорта и услуги по перевозкам</w:t>
        <w:br/>
        <w:t>(код 49.4);</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14) перевозка грузов неспециализированными автотранспортными средствами</w:t>
        <w:br/>
        <w:t>(код 49.41.2);</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15) деятельность морского грузового транспорта (код 50.20);</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16) деятельность внутреннего водного пассажирского транспорта (код 50.30);</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 xml:space="preserve">17) деятельность внутреннего водного грузового транспорта (код 50.40); </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 xml:space="preserve">18) деятельность пассажирского воздушного транспорта (код 51.10); </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 xml:space="preserve">19) деятельность грузового воздушного транспорта (код 51.21); </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20) транспортная обработка грузов (код 52.24);</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21) деятельность гостиниц и прочих мест для временного проживания</w:t>
        <w:br/>
        <w:t>(код 55.10);</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22) деятельность ресторанов и услуги по доставке продуктов питания (код 56.10);</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23) деятельность ресторанов и кафе с полным ресторанным обслуживанием, кафетериев, ресторанов быстрого питания и самообслуживания (код 56.10.1).</w:t>
      </w:r>
    </w:p>
    <w:p>
      <w:pPr>
        <w:pStyle w:val="Normal"/>
        <w:spacing w:lineRule="auto" w:line="240" w:before="0" w:after="0"/>
        <w:ind w:firstLine="709" w:left="0" w:right="0"/>
        <w:jc w:val="both"/>
        <w:rPr>
          <w:rFonts w:ascii="Times New Roman" w:hAnsi="Times New Roman"/>
          <w:color w:val="1A1A1A"/>
          <w:sz w:val="26"/>
        </w:rPr>
      </w:pPr>
      <w:r>
        <w:rPr>
          <w:rFonts w:ascii="Times New Roman" w:hAnsi="Times New Roman"/>
          <w:color w:val="1A1A1A"/>
          <w:sz w:val="26"/>
        </w:rPr>
        <w:t>Проект подготовлен с учетом предложений, поступивших от органов исполнительной власти Ненецкого автономного округа в целях регулирования рынка труда, стабилизации миграционной ситуации, обеспечения эпидемиологической безопасности, предупреждения преступлений экстремистской и террористической направленности на территории Ненецкого автономного округа.</w:t>
      </w:r>
    </w:p>
    <w:p>
      <w:pPr>
        <w:pStyle w:val="ConsPlusNonformat1"/>
        <w:tabs>
          <w:tab w:val="clear" w:pos="708"/>
          <w:tab w:val="left" w:pos="1134" w:leader="none"/>
        </w:tabs>
        <w:ind w:hanging="0" w:left="709" w:right="0"/>
        <w:jc w:val="both"/>
        <w:rPr>
          <w:rFonts w:ascii="Times New Roman" w:hAnsi="Times New Roman"/>
          <w:sz w:val="26"/>
        </w:rPr>
      </w:pPr>
      <w:r>
        <w:rPr>
          <w:rFonts w:ascii="Times New Roman" w:hAnsi="Times New Roman"/>
          <w:sz w:val="26"/>
        </w:rPr>
        <w:t>2. Цели предлагаемого правового регулирования:</w:t>
      </w:r>
    </w:p>
    <w:p>
      <w:pPr>
        <w:pStyle w:val="Normal"/>
        <w:spacing w:lineRule="auto" w:line="240" w:before="0" w:after="0"/>
        <w:ind w:firstLine="709" w:left="0" w:right="0"/>
        <w:jc w:val="both"/>
        <w:rPr>
          <w:rFonts w:ascii="Times New Roman" w:hAnsi="Times New Roman"/>
          <w:color w:val="1A1A1A"/>
          <w:sz w:val="26"/>
        </w:rPr>
      </w:pPr>
      <w:r>
        <w:rPr>
          <w:rFonts w:ascii="Times New Roman" w:hAnsi="Times New Roman"/>
          <w:color w:val="1A1A1A"/>
          <w:sz w:val="26"/>
        </w:rPr>
        <w:t>Установление данного запрета связано с необходимостью защиты регионального рынка труда, обеспечения приоритетного права на трудоустройство российских граждан, стабилизации миграционной ситуации, обеспечения санитарной и эпидемиологической безопасности, предупреждения преступлений экстремистской и террористической направленности на территории области.</w:t>
      </w:r>
    </w:p>
    <w:p>
      <w:pPr>
        <w:pStyle w:val="ConsPlusNonformat1"/>
        <w:tabs>
          <w:tab w:val="clear" w:pos="708"/>
          <w:tab w:val="left" w:pos="1134" w:leader="none"/>
        </w:tabs>
        <w:ind w:firstLine="709" w:left="0" w:right="0"/>
        <w:jc w:val="both"/>
        <w:rPr>
          <w:rFonts w:ascii="Times New Roman" w:hAnsi="Times New Roman"/>
          <w:sz w:val="26"/>
        </w:rPr>
      </w:pPr>
      <w:r>
        <w:rPr>
          <w:rFonts w:ascii="Times New Roman" w:hAnsi="Times New Roman"/>
          <w:sz w:val="26"/>
        </w:rPr>
        <w:t xml:space="preserve">3. Действующие нормативные правовые акты, поручения, другие решения, </w:t>
        <w:br/>
        <w:t>из которых вытекает необходимость предлагаемого правового регулирования:</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Пункт 6 статьи 18.1. Федерального закона от 25.07.2002 № 115-ФЗ «О правовом положении иностранных граждан в Российской Федерации».</w:t>
      </w:r>
    </w:p>
    <w:p>
      <w:pPr>
        <w:pStyle w:val="Normal"/>
        <w:spacing w:before="0" w:after="0"/>
        <w:ind w:firstLine="709" w:left="0" w:right="0"/>
        <w:jc w:val="both"/>
        <w:rPr>
          <w:rFonts w:ascii="Times New Roman" w:hAnsi="Times New Roman"/>
          <w:sz w:val="26"/>
        </w:rPr>
      </w:pPr>
      <w:r>
        <w:rPr>
          <w:rFonts w:ascii="Times New Roman" w:hAnsi="Times New Roman"/>
          <w:sz w:val="26"/>
        </w:rPr>
        <w:t>4. Планируемый срок вступления в силу предлагаемого правового регулирования: 01.01.2027.</w:t>
      </w:r>
    </w:p>
    <w:p>
      <w:pPr>
        <w:pStyle w:val="Normal"/>
        <w:spacing w:before="0" w:after="0"/>
        <w:ind w:firstLine="709" w:left="0" w:right="0"/>
        <w:jc w:val="both"/>
        <w:rPr>
          <w:rFonts w:ascii="Times New Roman" w:hAnsi="Times New Roman"/>
          <w:sz w:val="26"/>
        </w:rPr>
      </w:pPr>
      <w:r>
        <w:rPr>
          <w:rFonts w:ascii="Times New Roman" w:hAnsi="Times New Roman"/>
          <w:sz w:val="26"/>
        </w:rPr>
        <w:t>5. Сведения о необходимости или отсутствии необходимости установления переходного периода: 3 месяца с момента принятия проекта нормативного акта.</w:t>
      </w:r>
    </w:p>
    <w:p>
      <w:pPr>
        <w:pStyle w:val="ConsPlusNonformat1"/>
        <w:ind w:firstLine="709" w:left="0" w:right="0"/>
        <w:jc w:val="both"/>
        <w:rPr>
          <w:rFonts w:ascii="Times New Roman" w:hAnsi="Times New Roman"/>
          <w:sz w:val="26"/>
        </w:rPr>
      </w:pPr>
      <w:r>
        <w:rPr>
          <w:rFonts w:ascii="Times New Roman" w:hAnsi="Times New Roman"/>
          <w:sz w:val="26"/>
        </w:rPr>
        <w:t>6. Сравнение возможных вариантов решения проблемы:</w:t>
      </w:r>
    </w:p>
    <w:tbl>
      <w:tblPr>
        <w:tblStyle w:val="Style_3"/>
        <w:tblW w:w="10201" w:type="dxa"/>
        <w:jc w:val="left"/>
        <w:tblInd w:w="0" w:type="dxa"/>
        <w:tblLayout w:type="fixed"/>
        <w:tblCellMar>
          <w:top w:w="102" w:type="dxa"/>
          <w:left w:w="62" w:type="dxa"/>
          <w:bottom w:w="102" w:type="dxa"/>
          <w:right w:w="62" w:type="dxa"/>
        </w:tblCellMar>
      </w:tblPr>
      <w:tblGrid>
        <w:gridCol w:w="5240"/>
        <w:gridCol w:w="4960"/>
      </w:tblGrid>
      <w:tr>
        <w:trPr/>
        <w:tc>
          <w:tcPr>
            <w:tcW w:w="524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Вариант 1</w:t>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Вариант 2</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Содержание варианта:</w:t>
            </w:r>
          </w:p>
        </w:tc>
      </w:tr>
      <w:tr>
        <w:trPr/>
        <w:tc>
          <w:tcPr>
            <w:tcW w:w="524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Принятие проекта постановления</w:t>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Не принятие</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Качественная характеристика и оценка динамики численности потенциальных адресатов предлагаемого варианта в среднесрочном периоде (1-3 года):</w:t>
            </w:r>
          </w:p>
        </w:tc>
      </w:tr>
      <w:tr>
        <w:trPr/>
        <w:tc>
          <w:tcPr>
            <w:tcW w:w="524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Работодатели, осуществляющие хозяйственную деятельность в видах экономической деятельности, по которым предполагается установление запрета.</w:t>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Отсутствует.</w:t>
            </w:r>
          </w:p>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r>
          </w:p>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r>
          </w:p>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Оценка дополнительных расходов (доходов) потенциальных адресатов предлагаемого варианта, связанных с его введением:</w:t>
            </w:r>
          </w:p>
        </w:tc>
      </w:tr>
      <w:tr>
        <w:trPr/>
        <w:tc>
          <w:tcPr>
            <w:tcW w:w="524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Отсутствует</w:t>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Отсутствует</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Оценка расходов (доходов) окружного бюджета, связанных с введением предлагаемого варианта:</w:t>
            </w:r>
          </w:p>
        </w:tc>
      </w:tr>
      <w:tr>
        <w:trPr/>
        <w:tc>
          <w:tcPr>
            <w:tcW w:w="524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Не потребует</w:t>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Не потребует</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Оценка возможности достижения заявленных целей предлагаемого правового регулирования посредством применения рассматриваемых вариантов:</w:t>
            </w:r>
          </w:p>
        </w:tc>
      </w:tr>
      <w:tr>
        <w:trPr/>
        <w:tc>
          <w:tcPr>
            <w:tcW w:w="524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Замещение рабочих мест, на которые предполагается привлечение иностранных работников по патентам российскими гражданами</w:t>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Цель не будет достигнута</w:t>
            </w:r>
          </w:p>
        </w:tc>
      </w:tr>
      <w:tr>
        <w:trPr/>
        <w:tc>
          <w:tcPr>
            <w:tcW w:w="10200"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Оценка рисков неблагоприятных последствий:</w:t>
            </w:r>
          </w:p>
        </w:tc>
      </w:tr>
      <w:tr>
        <w:trPr/>
        <w:tc>
          <w:tcPr>
            <w:tcW w:w="524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Отсутствует.</w:t>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Times New Roman" w:hAnsi="Times New Roman"/>
                <w:sz w:val="26"/>
              </w:rPr>
            </w:pPr>
            <w:r>
              <w:rPr>
                <w:rFonts w:ascii="Times New Roman" w:hAnsi="Times New Roman"/>
                <w:color w:val="000000"/>
                <w:spacing w:val="0"/>
                <w:kern w:val="0"/>
                <w:sz w:val="26"/>
                <w:szCs w:val="20"/>
              </w:rPr>
              <w:t>Отсутствует.</w:t>
            </w:r>
          </w:p>
        </w:tc>
      </w:tr>
    </w:tbl>
    <w:p>
      <w:pPr>
        <w:pStyle w:val="ConsPlusNonformat1"/>
        <w:tabs>
          <w:tab w:val="clear" w:pos="708"/>
          <w:tab w:val="left" w:pos="1134" w:leader="none"/>
        </w:tabs>
        <w:ind w:firstLine="709" w:left="0" w:right="0"/>
        <w:jc w:val="both"/>
        <w:rPr>
          <w:rFonts w:ascii="Times New Roman" w:hAnsi="Times New Roman"/>
          <w:sz w:val="26"/>
        </w:rPr>
      </w:pPr>
      <w:r>
        <w:rPr>
          <w:rFonts w:ascii="Times New Roman" w:hAnsi="Times New Roman"/>
          <w:sz w:val="26"/>
        </w:rPr>
        <w:t xml:space="preserve">7. Обоснование выбора предпочтительного варианта: принятие Варианта 1 позволит установить запрет на привлечение хозяйствующими субъектами, осуществляющими на территории Ненецкого автономного округа, иностранных граждан, осуществляющих трудовую деятельность на основании патентов, по отдельным видам экономической деятельности. </w:t>
      </w:r>
    </w:p>
    <w:p>
      <w:pPr>
        <w:pStyle w:val="ConsPlusNonformat1"/>
        <w:tabs>
          <w:tab w:val="clear" w:pos="708"/>
          <w:tab w:val="left" w:pos="1134" w:leader="none"/>
          <w:tab w:val="left" w:pos="1276" w:leader="none"/>
        </w:tabs>
        <w:ind w:firstLine="709" w:left="0" w:right="0"/>
        <w:jc w:val="both"/>
        <w:rPr>
          <w:rFonts w:ascii="Times New Roman" w:hAnsi="Times New Roman"/>
          <w:sz w:val="26"/>
        </w:rPr>
      </w:pPr>
      <w:r>
        <w:rPr>
          <w:rFonts w:ascii="Times New Roman" w:hAnsi="Times New Roman"/>
          <w:sz w:val="26"/>
        </w:rPr>
        <w:t>8. Иная информация об идее предлагаемого правового регулирования: отсутствует.</w:t>
      </w:r>
    </w:p>
    <w:p>
      <w:pPr>
        <w:pStyle w:val="ConsPlusNonformat1"/>
        <w:tabs>
          <w:tab w:val="clear" w:pos="708"/>
          <w:tab w:val="left" w:pos="1134" w:leader="none"/>
          <w:tab w:val="left" w:pos="1276" w:leader="none"/>
        </w:tabs>
        <w:ind w:firstLine="709" w:left="0" w:right="0"/>
        <w:jc w:val="both"/>
        <w:rPr>
          <w:rFonts w:ascii="Times New Roman" w:hAnsi="Times New Roman"/>
          <w:sz w:val="26"/>
        </w:rPr>
      </w:pPr>
      <w:r>
        <w:rPr>
          <w:rFonts w:ascii="Times New Roman" w:hAnsi="Times New Roman"/>
          <w:sz w:val="26"/>
        </w:rPr>
        <w:t>9. Ответственное лицо: главный консультант отдела труда и занятости населения управления труда и социальной защиты Департамента труда и социальной защиты населения Ненецкого автономного округа, Калянова Наталья Викторовна.</w:t>
      </w:r>
    </w:p>
    <w:p>
      <w:pPr>
        <w:pStyle w:val="Normal"/>
        <w:spacing w:lineRule="auto" w:line="240" w:before="0" w:after="0"/>
        <w:ind w:firstLine="709" w:left="0" w:right="0"/>
        <w:jc w:val="both"/>
        <w:rPr>
          <w:rFonts w:ascii="Times New Roman" w:hAnsi="Times New Roman"/>
          <w:sz w:val="26"/>
        </w:rPr>
      </w:pPr>
      <w:r>
        <w:rPr>
          <w:rFonts w:ascii="Times New Roman" w:hAnsi="Times New Roman"/>
          <w:sz w:val="26"/>
        </w:rPr>
        <w:t xml:space="preserve">Контактные данные: (81853) 2-12-58, </w:t>
      </w:r>
      <w:r>
        <w:rPr>
          <w:rFonts w:ascii="Times New Roman" w:hAnsi="Times New Roman"/>
          <w:spacing w:val="-7"/>
          <w:sz w:val="26"/>
        </w:rPr>
        <w:t>nkalyanova</w:t>
      </w:r>
      <w:hyperlink r:id="rId4">
        <w:r>
          <w:rPr>
            <w:rStyle w:val="ListLabel1"/>
            <w:rFonts w:ascii="Times New Roman" w:hAnsi="Times New Roman"/>
            <w:color w:val="000000"/>
            <w:spacing w:val="-7"/>
            <w:sz w:val="26"/>
            <w:u w:val="none"/>
          </w:rPr>
          <w:t>@adm-nao.ru</w:t>
        </w:r>
      </w:hyperlink>
      <w:r>
        <w:rPr>
          <w:rFonts w:ascii="Times New Roman" w:hAnsi="Times New Roman"/>
          <w:sz w:val="26"/>
        </w:rPr>
        <w:t>.</w:t>
      </w:r>
    </w:p>
    <w:p>
      <w:pPr>
        <w:pStyle w:val="Normal"/>
        <w:numPr>
          <w:ilvl w:val="0"/>
          <w:numId w:val="0"/>
        </w:numPr>
        <w:spacing w:lineRule="auto" w:line="240" w:before="0" w:after="0"/>
        <w:ind w:hanging="0" w:left="0"/>
        <w:jc w:val="both"/>
        <w:outlineLvl w:val="0"/>
        <w:rPr>
          <w:rFonts w:ascii="Times New Roman" w:hAnsi="Times New Roman"/>
          <w:sz w:val="26"/>
        </w:rPr>
      </w:pPr>
      <w:r>
        <w:rPr>
          <w:rFonts w:ascii="Times New Roman" w:hAnsi="Times New Roman"/>
          <w:sz w:val="26"/>
        </w:rPr>
      </w:r>
    </w:p>
    <w:p>
      <w:pPr>
        <w:pStyle w:val="Normal"/>
        <w:numPr>
          <w:ilvl w:val="0"/>
          <w:numId w:val="0"/>
        </w:numPr>
        <w:spacing w:lineRule="auto" w:line="240" w:before="0" w:after="0"/>
        <w:ind w:hanging="0" w:left="0"/>
        <w:jc w:val="both"/>
        <w:outlineLvl w:val="0"/>
        <w:rPr>
          <w:rFonts w:ascii="Times New Roman" w:hAnsi="Times New Roman"/>
          <w:sz w:val="26"/>
        </w:rPr>
      </w:pPr>
      <w:r>
        <w:rPr>
          <w:rFonts w:ascii="Times New Roman" w:hAnsi="Times New Roman"/>
          <w:sz w:val="26"/>
        </w:rPr>
      </w:r>
    </w:p>
    <w:p>
      <w:pPr>
        <w:pStyle w:val="Normal"/>
        <w:numPr>
          <w:ilvl w:val="0"/>
          <w:numId w:val="0"/>
        </w:numPr>
        <w:spacing w:lineRule="auto" w:line="240" w:before="0" w:after="0"/>
        <w:ind w:hanging="0" w:left="0"/>
        <w:jc w:val="both"/>
        <w:outlineLvl w:val="0"/>
        <w:rPr>
          <w:rFonts w:ascii="Times New Roman" w:hAnsi="Times New Roman"/>
          <w:sz w:val="26"/>
        </w:rPr>
      </w:pPr>
      <w:r>
        <w:rPr>
          <w:rFonts w:ascii="Times New Roman" w:hAnsi="Times New Roman"/>
          <w:sz w:val="26"/>
        </w:rPr>
      </w:r>
    </w:p>
    <w:sectPr>
      <w:type w:val="nextPage"/>
      <w:pgSz w:w="11906" w:h="16838"/>
      <w:pgMar w:left="1133" w:right="566" w:gutter="0" w:header="0" w:top="1135"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XO Thames">
    <w:charset w:val="01"/>
    <w:family w:val="roman"/>
    <w:pitch w:val="default"/>
  </w:font>
  <w:font w:name="Times New Roman">
    <w:charset w:val="01"/>
    <w:family w:val="roman"/>
    <w:pitch w:val="default"/>
  </w:font>
  <w:font w:name="Tahoma">
    <w:charset w:val="01"/>
    <w:family w:val="roman"/>
    <w:pitch w:val="default"/>
  </w:font>
  <w:font w:name="Courier New">
    <w:charset w:val="01"/>
    <w:family w:val="roman"/>
    <w:pitch w:val="default"/>
  </w:font>
  <w:font w:name="TimesNewRomanPSMT">
    <w:charset w:val="01"/>
    <w:family w:val="roman"/>
    <w:pitch w:val="default"/>
  </w:font>
  <w:font w:name="Arial">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64" w:before="0" w:after="16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Heading1">
    <w:name w:val="Heading 1"/>
    <w:next w:val="Normal"/>
    <w:uiPriority w:val="9"/>
    <w:qFormat/>
    <w:pPr>
      <w:widowControl/>
      <w:bidi w:val="0"/>
      <w:spacing w:lineRule="auto" w:line="264" w:before="120" w:after="120"/>
      <w:ind w:hanging="0" w:left="0" w:right="0"/>
      <w:jc w:val="both"/>
      <w:outlineLvl w:val="0"/>
    </w:pPr>
    <w:rPr>
      <w:rFonts w:ascii="XO Thames" w:hAnsi="XO Thames" w:eastAsia="Tahoma" w:cs="Noto Sans Devanagari"/>
      <w:b/>
      <w:color w:val="000000"/>
      <w:spacing w:val="0"/>
      <w:kern w:val="0"/>
      <w:sz w:val="32"/>
      <w:szCs w:val="20"/>
      <w:lang w:val="ru-RU" w:eastAsia="zh-CN" w:bidi="hi-IN"/>
    </w:rPr>
  </w:style>
  <w:style w:type="paragraph" w:styleId="Heading2">
    <w:name w:val="Heading 2"/>
    <w:next w:val="Normal"/>
    <w:uiPriority w:val="9"/>
    <w:qFormat/>
    <w:pPr>
      <w:widowControl/>
      <w:bidi w:val="0"/>
      <w:spacing w:lineRule="auto" w:line="264" w:before="120" w:after="120"/>
      <w:ind w:hanging="0" w:left="0" w:right="0"/>
      <w:jc w:val="both"/>
      <w:outlineLvl w:val="1"/>
    </w:pPr>
    <w:rPr>
      <w:rFonts w:ascii="XO Thames" w:hAnsi="XO Thames" w:eastAsia="Tahoma" w:cs="Noto Sans Devanagari"/>
      <w:b/>
      <w:color w:val="000000"/>
      <w:spacing w:val="0"/>
      <w:kern w:val="0"/>
      <w:sz w:val="28"/>
      <w:szCs w:val="20"/>
      <w:lang w:val="ru-RU" w:eastAsia="zh-CN" w:bidi="hi-IN"/>
    </w:rPr>
  </w:style>
  <w:style w:type="paragraph" w:styleId="Heading3">
    <w:name w:val="Heading 3"/>
    <w:next w:val="Normal"/>
    <w:uiPriority w:val="9"/>
    <w:qFormat/>
    <w:pPr>
      <w:widowControl/>
      <w:bidi w:val="0"/>
      <w:spacing w:lineRule="auto" w:line="264" w:before="120" w:after="120"/>
      <w:ind w:hanging="0" w:left="0" w:right="0"/>
      <w:jc w:val="both"/>
      <w:outlineLvl w:val="2"/>
    </w:pPr>
    <w:rPr>
      <w:rFonts w:ascii="XO Thames" w:hAnsi="XO Thames" w:eastAsia="Tahoma" w:cs="Noto Sans Devanagari"/>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64" w:before="120" w:after="120"/>
      <w:ind w:hanging="0" w:left="0" w:right="0"/>
      <w:jc w:val="both"/>
      <w:outlineLvl w:val="3"/>
    </w:pPr>
    <w:rPr>
      <w:rFonts w:ascii="XO Thames" w:hAnsi="XO Thames" w:eastAsia="Tahoma" w:cs="Noto Sans Devanagari"/>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64" w:before="120" w:after="120"/>
      <w:ind w:hanging="0" w:left="0" w:right="0"/>
      <w:jc w:val="both"/>
      <w:outlineLvl w:val="4"/>
    </w:pPr>
    <w:rPr>
      <w:rFonts w:ascii="XO Thames" w:hAnsi="XO Thames" w:eastAsia="Tahoma" w:cs="Noto Sans Devanagari"/>
      <w:b/>
      <w:color w:val="000000"/>
      <w:spacing w:val="0"/>
      <w:kern w:val="0"/>
      <w:sz w:val="22"/>
      <w:szCs w:val="20"/>
      <w:lang w:val="ru-RU" w:eastAsia="zh-CN" w:bidi="hi-IN"/>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Endnote">
    <w:name w:val="Endnote"/>
    <w:link w:val="Endnote1"/>
    <w:qFormat/>
    <w:rPr>
      <w:rFonts w:ascii="XO Thames" w:hAnsi="XO Thames"/>
      <w:sz w:val="22"/>
    </w:rPr>
  </w:style>
  <w:style w:type="character" w:styleId="Heading31">
    <w:name w:val="Heading 31"/>
    <w:qFormat/>
    <w:rPr>
      <w:rFonts w:ascii="XO Thames" w:hAnsi="XO Thames"/>
      <w:b/>
      <w:sz w:val="26"/>
    </w:rPr>
  </w:style>
  <w:style w:type="character" w:styleId="Textbodyindent">
    <w:name w:val="Text body indent"/>
    <w:qFormat/>
    <w:rPr>
      <w:rFonts w:ascii="Times New Roman" w:hAnsi="Times New Roman"/>
      <w:sz w:val="28"/>
    </w:rPr>
  </w:style>
  <w:style w:type="character" w:styleId="Contents3">
    <w:name w:val="Contents 3"/>
    <w:qFormat/>
    <w:rPr>
      <w:rFonts w:ascii="XO Thames" w:hAnsi="XO Thames"/>
      <w:sz w:val="28"/>
    </w:rPr>
  </w:style>
  <w:style w:type="character" w:styleId="Style9">
    <w:name w:val="Знак Знак"/>
    <w:link w:val="1"/>
    <w:qFormat/>
    <w:rPr>
      <w:rFonts w:ascii="Tahoma" w:hAnsi="Tahoma"/>
      <w:sz w:val="20"/>
    </w:rPr>
  </w:style>
  <w:style w:type="character" w:styleId="Heading51">
    <w:name w:val="Heading 51"/>
    <w:qFormat/>
    <w:rPr>
      <w:rFonts w:ascii="XO Thames" w:hAnsi="XO Thames"/>
      <w:b/>
      <w:sz w:val="22"/>
    </w:rPr>
  </w:style>
  <w:style w:type="character" w:styleId="Heading11">
    <w:name w:val="Heading 11"/>
    <w:qFormat/>
    <w:rPr>
      <w:rFonts w:ascii="XO Thames" w:hAnsi="XO Thames"/>
      <w:b/>
      <w:sz w:val="32"/>
    </w:rPr>
  </w:style>
  <w:style w:type="character" w:styleId="Hyperlink">
    <w:name w:val="Hyperlink"/>
    <w:rPr>
      <w:color w:val="0563C1"/>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8"/>
    </w:rPr>
  </w:style>
  <w:style w:type="character" w:styleId="ConsPlusNonformat">
    <w:name w:val="ConsPlusNonformat"/>
    <w:link w:val="ConsPlusNonformat1"/>
    <w:qFormat/>
    <w:rPr>
      <w:rFonts w:ascii="Courier New" w:hAnsi="Courier New"/>
      <w:sz w:val="20"/>
    </w:rPr>
  </w:style>
  <w:style w:type="character" w:styleId="Contents9">
    <w:name w:val="Contents 9"/>
    <w:qFormat/>
    <w:rPr>
      <w:rFonts w:ascii="XO Thames" w:hAnsi="XO Thames"/>
      <w:sz w:val="28"/>
    </w:rPr>
  </w:style>
  <w:style w:type="character" w:styleId="Contents8">
    <w:name w:val="Contents 8"/>
    <w:qFormat/>
    <w:rPr>
      <w:rFonts w:ascii="XO Thames" w:hAnsi="XO Thames"/>
      <w:sz w:val="28"/>
    </w:rPr>
  </w:style>
  <w:style w:type="character" w:styleId="Contents5">
    <w:name w:val="Contents 5"/>
    <w:qFormat/>
    <w:rPr>
      <w:rFonts w:ascii="XO Thames" w:hAnsi="XO Thames"/>
      <w:sz w:val="28"/>
    </w:rPr>
  </w:style>
  <w:style w:type="character" w:styleId="Fontstyle01">
    <w:name w:val="fontstyle01"/>
    <w:basedOn w:val="DefaultParagraphFont"/>
    <w:link w:val="Fontstyle011"/>
    <w:qFormat/>
    <w:rPr>
      <w:rFonts w:ascii="TimesNewRomanPSMT" w:hAnsi="TimesNewRomanPSMT"/>
      <w:b w:val="false"/>
      <w:i w:val="false"/>
      <w:color w:val="000000"/>
      <w:sz w:val="26"/>
    </w:rPr>
  </w:style>
  <w:style w:type="character" w:styleId="DefaultParagraphFont">
    <w:name w:val="Default Paragraph Font"/>
    <w:link w:val="DefaultParagraphFont1"/>
    <w:qFormat/>
    <w:rPr/>
  </w:style>
  <w:style w:type="character" w:styleId="ConsPlusNormal">
    <w:name w:val="ConsPlusNormal"/>
    <w:link w:val="ConsPlusNormal1"/>
    <w:qFormat/>
    <w:rPr>
      <w:rFonts w:ascii="Arial" w:hAnsi="Arial"/>
      <w:sz w:val="18"/>
    </w:rPr>
  </w:style>
  <w:style w:type="character" w:styleId="Subtitle1">
    <w:name w:val="Subtitle1"/>
    <w:qFormat/>
    <w:rPr>
      <w:rFonts w:ascii="XO Thames" w:hAnsi="XO Thames"/>
      <w:i/>
      <w:sz w:val="24"/>
    </w:rPr>
  </w:style>
  <w:style w:type="character" w:styleId="ListParagraph">
    <w:name w:val="List Paragraph"/>
    <w:link w:val="ListParagraph1"/>
    <w:qFormat/>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Heading21">
    <w:name w:val="Heading 21"/>
    <w:qFormat/>
    <w:rPr>
      <w:rFonts w:ascii="XO Thames" w:hAnsi="XO Thames"/>
      <w:b/>
      <w:sz w:val="28"/>
    </w:rPr>
  </w:style>
  <w:style w:type="paragraph" w:styleId="Style1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1">
    <w:name w:val="Указатель"/>
    <w:basedOn w:val="Normal"/>
    <w:qFormat/>
    <w:pPr>
      <w:suppressLineNumbers/>
    </w:pPr>
    <w:rPr>
      <w:rFonts w:ascii="PT Astra Serif" w:hAnsi="PT Astra Serif" w:cs="Noto Sans Devanagari"/>
    </w:rPr>
  </w:style>
  <w:style w:type="paragraph" w:styleId="TOC2">
    <w:name w:val="TOC 2"/>
    <w:next w:val="Normal"/>
    <w:uiPriority w:val="39"/>
    <w:pPr>
      <w:widowControl/>
      <w:bidi w:val="0"/>
      <w:spacing w:lineRule="auto" w:line="264" w:before="0" w:after="16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TOC4">
    <w:name w:val="TOC 4"/>
    <w:next w:val="Normal"/>
    <w:uiPriority w:val="39"/>
    <w:pPr>
      <w:widowControl/>
      <w:bidi w:val="0"/>
      <w:spacing w:lineRule="auto" w:line="264" w:before="0" w:after="16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TOC6">
    <w:name w:val="TOC 6"/>
    <w:next w:val="Normal"/>
    <w:uiPriority w:val="39"/>
    <w:pPr>
      <w:widowControl/>
      <w:bidi w:val="0"/>
      <w:spacing w:lineRule="auto" w:line="264" w:before="0" w:after="16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TOC7">
    <w:name w:val="TOC 7"/>
    <w:next w:val="Normal"/>
    <w:uiPriority w:val="39"/>
    <w:pPr>
      <w:widowControl/>
      <w:bidi w:val="0"/>
      <w:spacing w:lineRule="auto" w:line="264" w:before="0" w:after="16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Endnote1">
    <w:name w:val="Endnote1"/>
    <w:link w:val="Endnote"/>
    <w:qFormat/>
    <w:pPr>
      <w:widowControl/>
      <w:bidi w:val="0"/>
      <w:spacing w:lineRule="auto" w:line="264" w:before="0" w:after="16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BodyTextIndent">
    <w:name w:val="Body Text Indent"/>
    <w:basedOn w:val="Normal"/>
    <w:pPr>
      <w:spacing w:lineRule="auto" w:line="240" w:before="0" w:after="0"/>
      <w:ind w:firstLine="851"/>
      <w:jc w:val="both"/>
    </w:pPr>
    <w:rPr>
      <w:rFonts w:ascii="Times New Roman" w:hAnsi="Times New Roman"/>
      <w:sz w:val="28"/>
    </w:rPr>
  </w:style>
  <w:style w:type="paragraph" w:styleId="TOC3">
    <w:name w:val="TOC 3"/>
    <w:next w:val="Normal"/>
    <w:uiPriority w:val="39"/>
    <w:pPr>
      <w:widowControl/>
      <w:bidi w:val="0"/>
      <w:spacing w:lineRule="auto" w:line="264" w:before="0" w:after="16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1">
    <w:name w:val="Знак Знак1"/>
    <w:basedOn w:val="Normal"/>
    <w:link w:val="Style9"/>
    <w:qFormat/>
    <w:pPr>
      <w:spacing w:lineRule="auto" w:line="240" w:beforeAutospacing="1" w:afterAutospacing="1"/>
    </w:pPr>
    <w:rPr>
      <w:rFonts w:ascii="Tahoma" w:hAnsi="Tahoma"/>
      <w:sz w:val="20"/>
    </w:rPr>
  </w:style>
  <w:style w:type="paragraph" w:styleId="Internetlink">
    <w:name w:val="Internet link"/>
    <w:qFormat/>
    <w:pPr>
      <w:widowControl/>
      <w:bidi w:val="0"/>
      <w:spacing w:lineRule="auto" w:line="264" w:before="0" w:after="160"/>
      <w:ind w:hanging="0" w:left="0" w:right="0"/>
      <w:jc w:val="left"/>
    </w:pPr>
    <w:rPr>
      <w:rFonts w:ascii="Calibri" w:hAnsi="Calibri" w:eastAsia="Tahoma" w:cs="Noto Sans Devanagari"/>
      <w:color w:val="0563C1"/>
      <w:spacing w:val="0"/>
      <w:kern w:val="0"/>
      <w:sz w:val="22"/>
      <w:szCs w:val="20"/>
      <w:u w:val="single"/>
      <w:lang w:val="ru-RU" w:eastAsia="zh-CN" w:bidi="hi-IN"/>
    </w:rPr>
  </w:style>
  <w:style w:type="paragraph" w:styleId="Footnote1">
    <w:name w:val="Footnote1"/>
    <w:link w:val="Footnote"/>
    <w:qFormat/>
    <w:pPr>
      <w:widowControl/>
      <w:bidi w:val="0"/>
      <w:spacing w:lineRule="auto" w:line="264" w:before="0" w:after="16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TOC1">
    <w:name w:val="TOC 1"/>
    <w:next w:val="Normal"/>
    <w:uiPriority w:val="39"/>
    <w:pPr>
      <w:widowControl/>
      <w:bidi w:val="0"/>
      <w:spacing w:lineRule="auto" w:line="264" w:before="0" w:after="16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Style12">
    <w:name w:val="Колонтитул"/>
    <w:qFormat/>
    <w:pPr>
      <w:widowControl/>
      <w:bidi w:val="0"/>
      <w:spacing w:lineRule="auto" w:line="240" w:before="0" w:after="160"/>
      <w:ind w:hanging="0" w:left="0" w:right="0"/>
      <w:jc w:val="both"/>
    </w:pPr>
    <w:rPr>
      <w:rFonts w:ascii="XO Thames" w:hAnsi="XO Thames" w:eastAsia="Tahoma" w:cs="Noto Sans Devanagari"/>
      <w:color w:val="000000"/>
      <w:spacing w:val="0"/>
      <w:kern w:val="0"/>
      <w:sz w:val="28"/>
      <w:szCs w:val="20"/>
      <w:lang w:val="ru-RU" w:eastAsia="zh-CN" w:bidi="hi-IN"/>
    </w:rPr>
  </w:style>
  <w:style w:type="paragraph" w:styleId="ConsPlusNonformat1">
    <w:name w:val="ConsPlusNonformat1"/>
    <w:link w:val="ConsPlusNonformat"/>
    <w:qFormat/>
    <w:pPr>
      <w:widowControl w:val="fals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TOC9">
    <w:name w:val="TOC 9"/>
    <w:next w:val="Normal"/>
    <w:uiPriority w:val="39"/>
    <w:pPr>
      <w:widowControl/>
      <w:bidi w:val="0"/>
      <w:spacing w:lineRule="auto" w:line="264" w:before="0" w:after="16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TOC8">
    <w:name w:val="TOC 8"/>
    <w:next w:val="Normal"/>
    <w:uiPriority w:val="39"/>
    <w:pPr>
      <w:widowControl/>
      <w:bidi w:val="0"/>
      <w:spacing w:lineRule="auto" w:line="264" w:before="0" w:after="16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TOC5">
    <w:name w:val="TOC 5"/>
    <w:next w:val="Normal"/>
    <w:uiPriority w:val="39"/>
    <w:pPr>
      <w:widowControl/>
      <w:bidi w:val="0"/>
      <w:spacing w:lineRule="auto" w:line="264" w:before="0" w:after="16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Fontstyle011">
    <w:name w:val="fontstyle011"/>
    <w:basedOn w:val="DefaultParagraphFont1"/>
    <w:link w:val="Fontstyle01"/>
    <w:qFormat/>
    <w:pPr/>
    <w:rPr>
      <w:rFonts w:ascii="TimesNewRomanPSMT" w:hAnsi="TimesNewRomanPSMT"/>
      <w:b w:val="false"/>
      <w:i w:val="false"/>
      <w:color w:val="000000"/>
      <w:sz w:val="26"/>
    </w:rPr>
  </w:style>
  <w:style w:type="paragraph" w:styleId="DefaultParagraphFont1">
    <w:name w:val="Default Paragraph Font1"/>
    <w:link w:val="DefaultParagraphFont"/>
    <w:qFormat/>
    <w:pPr>
      <w:widowControl/>
      <w:bidi w:val="0"/>
      <w:spacing w:lineRule="auto" w:line="264" w:before="0" w:after="16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ConsPlusNormal1">
    <w:name w:val="ConsPlusNormal1"/>
    <w:link w:val="ConsPlusNormal"/>
    <w:qFormat/>
    <w:pPr>
      <w:widowControl w:val="false"/>
      <w:bidi w:val="0"/>
      <w:spacing w:lineRule="auto" w:line="240" w:before="0" w:after="0"/>
      <w:ind w:firstLine="720" w:left="0" w:right="0"/>
      <w:jc w:val="left"/>
    </w:pPr>
    <w:rPr>
      <w:rFonts w:ascii="Arial" w:hAnsi="Arial" w:eastAsia="Tahoma" w:cs="Noto Sans Devanagari"/>
      <w:color w:val="000000"/>
      <w:spacing w:val="0"/>
      <w:kern w:val="0"/>
      <w:sz w:val="18"/>
      <w:szCs w:val="20"/>
      <w:lang w:val="ru-RU" w:eastAsia="zh-CN" w:bidi="hi-IN"/>
    </w:rPr>
  </w:style>
  <w:style w:type="paragraph" w:styleId="Subtitle">
    <w:name w:val="Subtitle"/>
    <w:next w:val="Normal"/>
    <w:uiPriority w:val="11"/>
    <w:qFormat/>
    <w:pPr>
      <w:widowControl/>
      <w:bidi w:val="0"/>
      <w:spacing w:lineRule="auto" w:line="264" w:before="0" w:after="160"/>
      <w:ind w:hanging="0" w:left="0" w:right="0"/>
      <w:jc w:val="both"/>
    </w:pPr>
    <w:rPr>
      <w:rFonts w:ascii="XO Thames" w:hAnsi="XO Thames" w:eastAsia="Tahoma" w:cs="Noto Sans Devanagari"/>
      <w:i/>
      <w:color w:val="000000"/>
      <w:spacing w:val="0"/>
      <w:kern w:val="0"/>
      <w:sz w:val="24"/>
      <w:szCs w:val="20"/>
      <w:lang w:val="ru-RU" w:eastAsia="zh-CN" w:bidi="hi-IN"/>
    </w:rPr>
  </w:style>
  <w:style w:type="paragraph" w:styleId="ListParagraph1">
    <w:name w:val="List Paragraph1"/>
    <w:basedOn w:val="Normal"/>
    <w:link w:val="ListParagraph"/>
    <w:qFormat/>
    <w:pPr>
      <w:spacing w:before="0" w:after="160"/>
      <w:ind w:left="720"/>
      <w:contextualSpacing/>
    </w:pPr>
    <w:rPr/>
  </w:style>
  <w:style w:type="paragraph" w:styleId="Title">
    <w:name w:val="Title"/>
    <w:next w:val="Normal"/>
    <w:uiPriority w:val="10"/>
    <w:qFormat/>
    <w:pPr>
      <w:widowControl/>
      <w:bidi w:val="0"/>
      <w:spacing w:lineRule="auto" w:line="264" w:before="567" w:after="567"/>
      <w:ind w:hanging="0" w:left="0" w:right="0"/>
      <w:jc w:val="center"/>
    </w:pPr>
    <w:rPr>
      <w:rFonts w:ascii="XO Thames" w:hAnsi="XO Thames" w:eastAsia="Tahoma" w:cs="Noto Sans Devanagari"/>
      <w:b/>
      <w:caps/>
      <w:color w:val="000000"/>
      <w:spacing w:val="0"/>
      <w:kern w:val="0"/>
      <w:sz w:val="40"/>
      <w:szCs w:val="20"/>
      <w:lang w:val="ru-RU" w:eastAsia="zh-CN" w:bidi="hi-IN"/>
    </w:rPr>
  </w:style>
  <w:style w:type="table" w:default="1" w:styleId="Style_3">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politova@adm-nao.ru" TargetMode="External"/><Relationship Id="rId3" Type="http://schemas.openxmlformats.org/officeDocument/2006/relationships/hyperlink" Target="https://derpi.adm-nao.ru/orv/" TargetMode="External"/><Relationship Id="rId4" Type="http://schemas.openxmlformats.org/officeDocument/2006/relationships/hyperlink" Target="mailto:spolitova@adm-nao.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LibreOffice/7.6.7.2$Linux_X86_64 LibreOffice_project/60$Build-2</Application>
  <AppVersion>15.0000</AppVersion>
  <Pages>3</Pages>
  <Words>783</Words>
  <Characters>6139</Characters>
  <CharactersWithSpaces>6867</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2026-06-10T17:07:31Z</dcterms:modified>
  <cp:revision>1</cp:revision>
  <dc:subject/>
  <dc:title/>
</cp:coreProperties>
</file>