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Пояснительная записка</w:t>
      </w:r>
    </w:p>
    <w:p w14:paraId="04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к во</w:t>
      </w:r>
      <w:r>
        <w:rPr>
          <w:b w:val="1"/>
          <w:sz w:val="26"/>
        </w:rPr>
        <w:t>просу, выносимому на заседание</w:t>
      </w:r>
    </w:p>
    <w:p w14:paraId="05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Администрации </w:t>
      </w:r>
      <w:r>
        <w:rPr>
          <w:b w:val="1"/>
          <w:sz w:val="26"/>
        </w:rPr>
        <w:t>Ненецкого автономного округа</w:t>
      </w:r>
    </w:p>
    <w:p w14:paraId="06000000">
      <w:pPr>
        <w:widowControl w:val="1"/>
        <w:ind w:firstLine="720"/>
        <w:jc w:val="center"/>
        <w:rPr>
          <w:sz w:val="26"/>
        </w:rPr>
      </w:pPr>
    </w:p>
    <w:p w14:paraId="07000000">
      <w:pPr>
        <w:widowControl w:val="1"/>
        <w:ind w:firstLine="720"/>
        <w:jc w:val="both"/>
        <w:rPr>
          <w:sz w:val="26"/>
        </w:rPr>
      </w:pPr>
      <w:r>
        <w:rPr>
          <w:b w:val="1"/>
          <w:sz w:val="26"/>
        </w:rPr>
        <w:t>1. </w:t>
      </w:r>
      <w:r>
        <w:rPr>
          <w:b w:val="1"/>
          <w:sz w:val="26"/>
        </w:rPr>
        <w:t>Вопрос</w:t>
      </w:r>
      <w:r>
        <w:rPr>
          <w:sz w:val="26"/>
        </w:rPr>
        <w:t>: О проекте постановления Администрации Ненецкого автономного округа «</w:t>
      </w:r>
      <w:r>
        <w:rPr>
          <w:sz w:val="26"/>
        </w:rPr>
        <w:t>О внесении изменений в постановление Администрации Ненецкого автономного округа от 30.12.2021 № 369-п</w:t>
      </w:r>
      <w:r>
        <w:rPr>
          <w:sz w:val="26"/>
        </w:rPr>
        <w:t>»</w:t>
      </w:r>
      <w:r>
        <w:rPr>
          <w:sz w:val="26"/>
        </w:rPr>
        <w:t>.</w:t>
      </w:r>
    </w:p>
    <w:p w14:paraId="08000000">
      <w:pPr>
        <w:widowControl w:val="1"/>
        <w:ind w:firstLine="720"/>
        <w:jc w:val="both"/>
        <w:rPr>
          <w:b w:val="1"/>
          <w:sz w:val="26"/>
        </w:rPr>
      </w:pPr>
      <w:r>
        <w:rPr>
          <w:b w:val="1"/>
          <w:sz w:val="26"/>
        </w:rPr>
        <w:t>2. </w:t>
      </w:r>
      <w:r>
        <w:rPr>
          <w:b w:val="1"/>
          <w:sz w:val="26"/>
        </w:rPr>
        <w:t>Общая характеристика вопроса:</w:t>
      </w:r>
    </w:p>
    <w:p w14:paraId="09000000">
      <w:pPr>
        <w:widowControl w:val="1"/>
        <w:ind w:firstLine="720"/>
        <w:jc w:val="both"/>
        <w:rPr>
          <w:sz w:val="26"/>
        </w:rPr>
      </w:pPr>
      <w:r>
        <w:rPr>
          <w:sz w:val="26"/>
        </w:rPr>
        <w:t>Проектом</w:t>
      </w:r>
      <w:r>
        <w:rPr>
          <w:sz w:val="26"/>
        </w:rPr>
        <w:t xml:space="preserve"> постановления</w:t>
      </w:r>
      <w:r>
        <w:rPr>
          <w:sz w:val="26"/>
        </w:rPr>
        <w:t xml:space="preserve"> предлагается </w:t>
      </w:r>
      <w:r>
        <w:rPr>
          <w:sz w:val="26"/>
        </w:rPr>
        <w:t>привести Положение о региональном государственном контроле (надзоре) в области технического состояния и эксплуатации самоходных машин и других видов техники, утвержденное постановлением Администрации Ненецкого автономног</w:t>
      </w:r>
      <w:r>
        <w:rPr>
          <w:sz w:val="26"/>
        </w:rPr>
        <w:t xml:space="preserve">о округа от 30.12.2021 № 369-п </w:t>
      </w:r>
      <w:r>
        <w:rPr>
          <w:sz w:val="26"/>
        </w:rPr>
        <w:t>(</w:t>
      </w:r>
      <w:r>
        <w:rPr>
          <w:sz w:val="26"/>
        </w:rPr>
        <w:t>далее</w:t>
      </w:r>
      <w:r>
        <w:rPr>
          <w:sz w:val="26"/>
        </w:rPr>
        <w:t xml:space="preserve"> </w:t>
      </w:r>
      <w:r>
        <w:rPr>
          <w:sz w:val="26"/>
        </w:rPr>
        <w:t xml:space="preserve">– </w:t>
      </w:r>
      <w:r>
        <w:rPr>
          <w:sz w:val="26"/>
        </w:rPr>
        <w:t>Положение о надзоре за самоходными машинами</w:t>
      </w:r>
      <w:r>
        <w:rPr>
          <w:sz w:val="26"/>
        </w:rPr>
        <w:t xml:space="preserve">) </w:t>
      </w:r>
      <w:r>
        <w:rPr>
          <w:sz w:val="26"/>
        </w:rPr>
        <w:t xml:space="preserve">в соответствие </w:t>
      </w:r>
      <w:r>
        <w:rPr>
          <w:sz w:val="26"/>
        </w:rPr>
        <w:t>принятым О</w:t>
      </w:r>
      <w:r>
        <w:rPr>
          <w:sz w:val="26"/>
        </w:rPr>
        <w:t>бщи</w:t>
      </w:r>
      <w:r>
        <w:rPr>
          <w:sz w:val="26"/>
        </w:rPr>
        <w:t>м</w:t>
      </w:r>
      <w:r>
        <w:rPr>
          <w:sz w:val="26"/>
        </w:rPr>
        <w:t xml:space="preserve"> требовани</w:t>
      </w:r>
      <w:r>
        <w:rPr>
          <w:sz w:val="26"/>
        </w:rPr>
        <w:t>ям</w:t>
      </w:r>
      <w:r>
        <w:rPr>
          <w:sz w:val="26"/>
        </w:rPr>
        <w:t xml:space="preserve"> к организации и осуществлению регионального государственного контроля (надзора) в области технического состояния и эксплуатации самоходных машин и других видов техники, запрещению эксплуатации самоходных машин и других видов техники</w:t>
      </w:r>
      <w:r>
        <w:rPr>
          <w:sz w:val="26"/>
        </w:rPr>
        <w:t xml:space="preserve">, утвержденным </w:t>
      </w:r>
      <w:r>
        <w:rPr>
          <w:sz w:val="26"/>
        </w:rPr>
        <w:t>постановлением Правительства Российской Федерации от 30.04.2026 № 512</w:t>
      </w:r>
      <w:r>
        <w:rPr>
          <w:sz w:val="26"/>
        </w:rPr>
        <w:t xml:space="preserve"> (далее соответственно – постановление Правительства РФ № 512, Общие требования)</w:t>
      </w:r>
      <w:r>
        <w:rPr>
          <w:sz w:val="26"/>
        </w:rPr>
        <w:t>.</w:t>
      </w:r>
    </w:p>
    <w:p w14:paraId="0A000000">
      <w:pPr>
        <w:pStyle w:val="Style_2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Постановлением Правительства РФ № 512 утверждены новые </w:t>
      </w:r>
      <w:r>
        <w:rPr>
          <w:rFonts w:ascii="Times New Roman" w:hAnsi="Times New Roman"/>
          <w:sz w:val="26"/>
        </w:rPr>
        <w:t>требовани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 xml:space="preserve"> к организации и осуществлению регионального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гостехнадзора</w:t>
      </w:r>
      <w:r>
        <w:rPr>
          <w:rFonts w:ascii="Times New Roman" w:hAnsi="Times New Roman"/>
          <w:sz w:val="26"/>
        </w:rPr>
        <w:t>, в том числе:</w:t>
      </w:r>
    </w:p>
    <w:p w14:paraId="0B000000">
      <w:pPr>
        <w:pStyle w:val="Style_2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закреплены категории риска, к которым могут быть отнесены объекты контроля, в том числе высокой и чрезвычайно высокой категорий;</w:t>
      </w:r>
    </w:p>
    <w:p w14:paraId="0C000000">
      <w:pPr>
        <w:pStyle w:val="Style_2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определены критери</w:t>
      </w:r>
      <w:r>
        <w:rPr>
          <w:rFonts w:ascii="Times New Roman" w:hAnsi="Times New Roman"/>
          <w:sz w:val="26"/>
        </w:rPr>
        <w:t xml:space="preserve">и отнесения объектов регионального </w:t>
      </w:r>
      <w:r>
        <w:rPr>
          <w:rFonts w:ascii="Times New Roman" w:hAnsi="Times New Roman"/>
          <w:sz w:val="26"/>
        </w:rPr>
        <w:t>гостехнадзора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 определенной категории риска причинения вреда</w:t>
      </w:r>
      <w:r>
        <w:rPr>
          <w:rFonts w:ascii="Times New Roman" w:hAnsi="Times New Roman"/>
          <w:sz w:val="26"/>
        </w:rPr>
        <w:t>;</w:t>
      </w:r>
    </w:p>
    <w:p w14:paraId="0D000000">
      <w:pPr>
        <w:pStyle w:val="Style_2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утверждены т</w:t>
      </w:r>
      <w:r>
        <w:rPr>
          <w:rFonts w:ascii="Times New Roman" w:hAnsi="Times New Roman"/>
          <w:sz w:val="26"/>
        </w:rPr>
        <w:t>ребования к запрещению эксплуатации самоходных машин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и других видов техники</w:t>
      </w:r>
      <w:r>
        <w:rPr>
          <w:rFonts w:ascii="Times New Roman" w:hAnsi="Times New Roman"/>
          <w:sz w:val="26"/>
        </w:rPr>
        <w:t>;</w:t>
      </w:r>
    </w:p>
    <w:p w14:paraId="0E000000">
      <w:pPr>
        <w:pStyle w:val="Style_2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установлен перечень контрольных (надзорных) и профилактических мероприятий, проводимых в рамках регионального </w:t>
      </w:r>
      <w:r>
        <w:rPr>
          <w:rFonts w:ascii="Times New Roman" w:hAnsi="Times New Roman"/>
          <w:sz w:val="26"/>
        </w:rPr>
        <w:t>гостехнадзора</w:t>
      </w:r>
      <w:r>
        <w:rPr>
          <w:rFonts w:ascii="Times New Roman" w:hAnsi="Times New Roman"/>
          <w:sz w:val="26"/>
        </w:rPr>
        <w:t>.</w:t>
      </w:r>
    </w:p>
    <w:p w14:paraId="0F000000">
      <w:pPr>
        <w:widowControl w:val="1"/>
        <w:ind w:firstLine="720"/>
        <w:jc w:val="both"/>
        <w:rPr>
          <w:sz w:val="26"/>
        </w:rPr>
      </w:pPr>
      <w:r>
        <w:rPr>
          <w:sz w:val="26"/>
        </w:rPr>
        <w:t xml:space="preserve">Принятые Общие требования требуют значительных изменений в действующее Положение </w:t>
      </w:r>
      <w:r>
        <w:rPr>
          <w:sz w:val="26"/>
        </w:rPr>
        <w:t>о надзоре за самоходными машинами</w:t>
      </w:r>
      <w:r>
        <w:rPr>
          <w:sz w:val="26"/>
        </w:rPr>
        <w:t>, ввиду чего предполагается разработка положения в новой редакции.</w:t>
      </w:r>
    </w:p>
    <w:p w14:paraId="10000000">
      <w:pPr>
        <w:widowControl w:val="1"/>
        <w:ind w:firstLine="708"/>
        <w:jc w:val="both"/>
        <w:rPr>
          <w:sz w:val="26"/>
        </w:rPr>
      </w:pPr>
      <w:r>
        <w:rPr>
          <w:color w:val="000000"/>
          <w:spacing w:val="2"/>
          <w:sz w:val="26"/>
        </w:rPr>
        <w:t>Принятие данного постановления не потребует внесени</w:t>
      </w:r>
      <w:r>
        <w:rPr>
          <w:color w:val="000000"/>
          <w:spacing w:val="2"/>
          <w:sz w:val="26"/>
        </w:rPr>
        <w:t>я</w:t>
      </w:r>
      <w:r>
        <w:rPr>
          <w:color w:val="000000"/>
          <w:spacing w:val="2"/>
          <w:sz w:val="26"/>
        </w:rPr>
        <w:t xml:space="preserve"> изменений в иные нормативные правовые акты Ненецкого автономного округа</w:t>
      </w:r>
      <w:r>
        <w:rPr>
          <w:sz w:val="26"/>
        </w:rPr>
        <w:t>.</w:t>
      </w:r>
    </w:p>
    <w:p w14:paraId="11000000">
      <w:pPr>
        <w:widowControl w:val="1"/>
        <w:ind w:firstLine="708"/>
        <w:jc w:val="both"/>
        <w:rPr>
          <w:color w:val="000000"/>
          <w:spacing w:val="2"/>
          <w:sz w:val="26"/>
        </w:rPr>
      </w:pPr>
      <w:r>
        <w:rPr>
          <w:color w:val="000000"/>
          <w:spacing w:val="2"/>
          <w:sz w:val="26"/>
        </w:rPr>
        <w:t>Проект постановления не оказывает влияния на расходы окружного бюджета, не затрагивает вопросы осуществления предпринимательской и инвестиционной деятельности</w:t>
      </w:r>
      <w:r>
        <w:rPr>
          <w:color w:val="000000"/>
          <w:spacing w:val="2"/>
          <w:sz w:val="26"/>
        </w:rPr>
        <w:t>, оценке регулирующего воздействия не подлежит.</w:t>
      </w:r>
    </w:p>
    <w:p w14:paraId="12000000">
      <w:pPr>
        <w:widowControl w:val="1"/>
        <w:ind w:firstLine="708"/>
        <w:jc w:val="both"/>
        <w:rPr>
          <w:color w:val="000000"/>
          <w:spacing w:val="2"/>
          <w:sz w:val="26"/>
        </w:rPr>
      </w:pPr>
      <w:r>
        <w:rPr>
          <w:color w:val="000000"/>
          <w:spacing w:val="2"/>
          <w:sz w:val="26"/>
        </w:rPr>
        <w:t>Реализация проекта не потребует дополнительных материальных и иных затрат.</w:t>
      </w:r>
    </w:p>
    <w:p w14:paraId="13000000">
      <w:pPr>
        <w:widowControl w:val="1"/>
        <w:ind w:firstLine="720"/>
        <w:jc w:val="both"/>
        <w:rPr>
          <w:b w:val="1"/>
          <w:sz w:val="26"/>
        </w:rPr>
      </w:pPr>
      <w:r>
        <w:rPr>
          <w:color w:val="000000"/>
          <w:spacing w:val="2"/>
          <w:sz w:val="26"/>
        </w:rPr>
        <w:t>Количество оригиналов, подлежащих подписанию – 1.</w:t>
      </w:r>
    </w:p>
    <w:p w14:paraId="14000000">
      <w:pPr>
        <w:widowControl w:val="1"/>
        <w:ind w:firstLine="720"/>
        <w:jc w:val="both"/>
        <w:rPr>
          <w:sz w:val="26"/>
        </w:rPr>
      </w:pPr>
      <w:r>
        <w:rPr>
          <w:b w:val="1"/>
          <w:sz w:val="26"/>
        </w:rPr>
        <w:t>3. </w:t>
      </w:r>
      <w:r>
        <w:rPr>
          <w:b w:val="1"/>
          <w:sz w:val="26"/>
        </w:rPr>
        <w:t>Член Администрации, ответственный за подготовку вопроса</w:t>
      </w:r>
      <w:r>
        <w:rPr>
          <w:sz w:val="26"/>
        </w:rPr>
        <w:t xml:space="preserve">: </w:t>
      </w:r>
      <w:r>
        <w:rPr>
          <w:sz w:val="26"/>
        </w:rPr>
        <w:br/>
      </w:r>
      <w:r>
        <w:rPr>
          <w:sz w:val="26"/>
        </w:rPr>
        <w:t>Сидорова Наталия Александровна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 xml:space="preserve">заместитель губернатора Ненецкого автономного </w:t>
      </w:r>
      <w:r>
        <w:rPr>
          <w:sz w:val="26"/>
        </w:rPr>
        <w:t xml:space="preserve">округа – руководитель </w:t>
      </w:r>
      <w:r>
        <w:rPr>
          <w:sz w:val="26"/>
        </w:rPr>
        <w:t>Аппарата Администрации</w:t>
      </w:r>
      <w:r>
        <w:rPr>
          <w:sz w:val="26"/>
        </w:rPr>
        <w:t xml:space="preserve"> Ненецкого автономного округа</w:t>
      </w:r>
      <w:r>
        <w:rPr>
          <w:sz w:val="26"/>
        </w:rPr>
        <w:t>.</w:t>
      </w:r>
    </w:p>
    <w:p w14:paraId="15000000">
      <w:pPr>
        <w:widowControl w:val="1"/>
        <w:ind w:firstLine="720"/>
        <w:jc w:val="both"/>
        <w:rPr>
          <w:sz w:val="26"/>
        </w:rPr>
      </w:pPr>
      <w:r>
        <w:rPr>
          <w:b w:val="1"/>
          <w:sz w:val="26"/>
        </w:rPr>
        <w:t>4</w:t>
      </w:r>
      <w:r>
        <w:rPr>
          <w:b w:val="1"/>
          <w:sz w:val="26"/>
        </w:rPr>
        <w:t>. </w:t>
      </w:r>
      <w:r>
        <w:rPr>
          <w:b w:val="1"/>
          <w:sz w:val="26"/>
        </w:rPr>
        <w:t>Разработчик: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Департамент внутреннего контроля и надзора Ненецкого автономного округа, </w:t>
      </w:r>
      <w:r>
        <w:rPr>
          <w:sz w:val="26"/>
        </w:rPr>
        <w:t>председател</w:t>
      </w:r>
      <w:r>
        <w:rPr>
          <w:sz w:val="26"/>
        </w:rPr>
        <w:t>ь</w:t>
      </w:r>
      <w:r>
        <w:rPr>
          <w:sz w:val="26"/>
        </w:rPr>
        <w:t xml:space="preserve"> комитета государственного надзора </w:t>
      </w:r>
      <w:r>
        <w:rPr>
          <w:sz w:val="26"/>
        </w:rPr>
        <w:br/>
      </w:r>
      <w:r>
        <w:rPr>
          <w:sz w:val="26"/>
        </w:rPr>
        <w:t xml:space="preserve">за техническим состоянием самоходных машин и других видов техники </w:t>
      </w:r>
      <w:r>
        <w:rPr>
          <w:sz w:val="26"/>
        </w:rPr>
        <w:t xml:space="preserve">- главный государственный инженер-инспектор </w:t>
      </w:r>
      <w:r>
        <w:rPr>
          <w:sz w:val="26"/>
        </w:rPr>
        <w:t>города Нарьян-Мара</w:t>
      </w:r>
      <w:r>
        <w:rPr>
          <w:sz w:val="26"/>
        </w:rPr>
        <w:t xml:space="preserve"> по надзору за техническим состоянием и эксплуатацией самоходных машин и других видов техники, аттракционов </w:t>
      </w:r>
      <w:r>
        <w:rPr>
          <w:sz w:val="26"/>
        </w:rPr>
        <w:t>Ружников Дмитрий Александрович</w:t>
      </w:r>
      <w:r>
        <w:rPr>
          <w:sz w:val="26"/>
        </w:rPr>
        <w:t>, тел</w:t>
      </w:r>
      <w:r>
        <w:rPr>
          <w:sz w:val="26"/>
        </w:rPr>
        <w:t>ефон</w:t>
      </w:r>
      <w:r>
        <w:rPr>
          <w:sz w:val="26"/>
        </w:rPr>
        <w:t xml:space="preserve"> (81853)</w:t>
      </w:r>
      <w:r>
        <w:rPr>
          <w:sz w:val="26"/>
        </w:rPr>
        <w:t xml:space="preserve"> </w:t>
      </w:r>
      <w:r>
        <w:rPr>
          <w:sz w:val="26"/>
        </w:rPr>
        <w:t>2-</w:t>
      </w:r>
      <w:r>
        <w:rPr>
          <w:sz w:val="26"/>
        </w:rPr>
        <w:t>13</w:t>
      </w:r>
      <w:r>
        <w:rPr>
          <w:sz w:val="26"/>
        </w:rPr>
        <w:t>-</w:t>
      </w:r>
      <w:r>
        <w:rPr>
          <w:sz w:val="26"/>
        </w:rPr>
        <w:t>8</w:t>
      </w:r>
      <w:r>
        <w:rPr>
          <w:sz w:val="26"/>
        </w:rPr>
        <w:t>2</w:t>
      </w:r>
      <w:r>
        <w:rPr>
          <w:sz w:val="26"/>
        </w:rPr>
        <w:t>.</w:t>
      </w:r>
    </w:p>
    <w:p w14:paraId="16000000">
      <w:pPr>
        <w:widowControl w:val="1"/>
        <w:ind w:firstLine="720"/>
        <w:jc w:val="both"/>
        <w:rPr>
          <w:b w:val="1"/>
          <w:sz w:val="26"/>
        </w:rPr>
      </w:pPr>
      <w:r>
        <w:rPr>
          <w:b w:val="1"/>
          <w:sz w:val="26"/>
        </w:rPr>
        <w:t>5. </w:t>
      </w:r>
      <w:r>
        <w:rPr>
          <w:b w:val="1"/>
          <w:sz w:val="26"/>
        </w:rPr>
        <w:t>Проект предлагаемого решения:</w:t>
      </w:r>
    </w:p>
    <w:p w14:paraId="17000000">
      <w:pPr>
        <w:widowControl w:val="1"/>
        <w:ind w:firstLine="720"/>
        <w:jc w:val="both"/>
        <w:rPr>
          <w:sz w:val="26"/>
        </w:rPr>
      </w:pPr>
      <w:r>
        <w:rPr>
          <w:sz w:val="26"/>
        </w:rPr>
        <w:t>1) п</w:t>
      </w:r>
      <w:r>
        <w:rPr>
          <w:sz w:val="26"/>
        </w:rPr>
        <w:t>ринять постановление</w:t>
      </w:r>
      <w:r>
        <w:rPr>
          <w:sz w:val="26"/>
        </w:rPr>
        <w:t xml:space="preserve"> Администрации Ненецкого автономного округа </w:t>
      </w:r>
      <w:r>
        <w:rPr>
          <w:sz w:val="26"/>
        </w:rPr>
        <w:br/>
      </w:r>
      <w:r>
        <w:rPr>
          <w:sz w:val="26"/>
        </w:rPr>
        <w:t>«</w:t>
      </w:r>
      <w:r>
        <w:rPr>
          <w:sz w:val="26"/>
        </w:rPr>
        <w:t>О внесении изменений в постановление Администрации Ненецкого автономного округа от 30.12.2021 № 369-п</w:t>
      </w:r>
      <w:bookmarkStart w:id="1" w:name="_GoBack"/>
      <w:bookmarkEnd w:id="1"/>
      <w:r>
        <w:rPr>
          <w:sz w:val="26"/>
        </w:rPr>
        <w:t>»</w:t>
      </w:r>
      <w:r>
        <w:rPr>
          <w:sz w:val="26"/>
        </w:rPr>
        <w:t xml:space="preserve"> в предложенн</w:t>
      </w:r>
      <w:r>
        <w:rPr>
          <w:sz w:val="26"/>
        </w:rPr>
        <w:t>о</w:t>
      </w:r>
      <w:r>
        <w:rPr>
          <w:sz w:val="26"/>
        </w:rPr>
        <w:t>м</w:t>
      </w:r>
      <w:r>
        <w:rPr>
          <w:sz w:val="26"/>
        </w:rPr>
        <w:t xml:space="preserve"> варианте</w:t>
      </w:r>
      <w:r>
        <w:rPr>
          <w:sz w:val="26"/>
        </w:rPr>
        <w:t>;</w:t>
      </w:r>
    </w:p>
    <w:p w14:paraId="18000000">
      <w:pPr>
        <w:widowControl w:val="1"/>
        <w:ind w:firstLine="720"/>
        <w:jc w:val="both"/>
        <w:rPr>
          <w:sz w:val="26"/>
        </w:rPr>
      </w:pPr>
      <w:r>
        <w:rPr>
          <w:sz w:val="26"/>
        </w:rPr>
        <w:t>2) </w:t>
      </w:r>
      <w:r>
        <w:rPr>
          <w:sz w:val="26"/>
        </w:rPr>
        <w:t xml:space="preserve">отделу организационной работы Аппарата Администрации Ненецкого автономного округа совместно с </w:t>
      </w:r>
      <w:r>
        <w:rPr>
          <w:sz w:val="26"/>
        </w:rPr>
        <w:t>Департамент</w:t>
      </w:r>
      <w:r>
        <w:rPr>
          <w:sz w:val="26"/>
        </w:rPr>
        <w:t>ом</w:t>
      </w:r>
      <w:r>
        <w:rPr>
          <w:sz w:val="26"/>
        </w:rPr>
        <w:t xml:space="preserve"> внутреннего контроля и надзора Ненецкого автономного округа</w:t>
      </w:r>
      <w:r>
        <w:rPr>
          <w:sz w:val="26"/>
        </w:rPr>
        <w:t xml:space="preserve"> в 3-дневный срок</w:t>
      </w:r>
      <w:r>
        <w:rPr>
          <w:sz w:val="26"/>
        </w:rPr>
        <w:t xml:space="preserve"> </w:t>
      </w:r>
      <w:r>
        <w:rPr>
          <w:sz w:val="26"/>
        </w:rPr>
        <w:t xml:space="preserve">после получения выписки </w:t>
      </w:r>
      <w:r>
        <w:rPr>
          <w:sz w:val="26"/>
        </w:rPr>
        <w:br/>
      </w:r>
      <w:r>
        <w:rPr>
          <w:sz w:val="26"/>
        </w:rPr>
        <w:t>из протокола организовать оформление проекта постановления в установленном порядке.</w:t>
      </w:r>
    </w:p>
    <w:p w14:paraId="19000000">
      <w:pPr>
        <w:widowControl w:val="1"/>
        <w:ind w:firstLine="720"/>
        <w:jc w:val="both"/>
        <w:rPr>
          <w:sz w:val="26"/>
        </w:rPr>
      </w:pPr>
    </w:p>
    <w:p w14:paraId="1A000000">
      <w:pPr>
        <w:widowControl w:val="1"/>
        <w:tabs>
          <w:tab w:leader="none" w:pos="7513" w:val="left"/>
        </w:tabs>
        <w:ind/>
        <w:jc w:val="both"/>
        <w:rPr>
          <w:sz w:val="26"/>
        </w:rPr>
      </w:pPr>
    </w:p>
    <w:p w14:paraId="1B000000">
      <w:pPr>
        <w:rPr>
          <w:sz w:val="26"/>
        </w:rPr>
      </w:pPr>
    </w:p>
    <w:sectPr>
      <w:headerReference r:id="rId1" w:type="default"/>
      <w:pgSz w:h="16838" w:orient="portrait" w:w="11906"/>
      <w:pgMar w:bottom="851" w:footer="709" w:gutter="0" w:header="709" w:left="1701" w:right="566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ind w:firstLine="72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0" w:type="paragraph">
    <w:name w:val="footer"/>
    <w:basedOn w:val="Style_3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3_ch"/>
    <w:link w:val="Style_10"/>
  </w:style>
  <w:style w:styleId="Style_11" w:type="paragraph">
    <w:name w:val="3.0 текст закона"/>
    <w:basedOn w:val="Style_3"/>
    <w:link w:val="Style_11_ch"/>
    <w:pPr>
      <w:widowControl w:val="1"/>
      <w:ind w:firstLine="709"/>
      <w:jc w:val="both"/>
    </w:pPr>
  </w:style>
  <w:style w:styleId="Style_11_ch" w:type="character">
    <w:name w:val="3.0 текст закона"/>
    <w:basedOn w:val="Style_3_ch"/>
    <w:link w:val="Style_11"/>
  </w:style>
  <w:style w:styleId="Style_12" w:type="paragraph">
    <w:name w:val="ConsPlusTitle"/>
    <w:link w:val="Style_12_ch"/>
    <w:pPr>
      <w:widowControl w:val="0"/>
      <w:ind/>
    </w:pPr>
    <w:rPr>
      <w:b w:val="1"/>
      <w:sz w:val="24"/>
    </w:rPr>
  </w:style>
  <w:style w:styleId="Style_12_ch" w:type="character">
    <w:name w:val="ConsPlusTitle"/>
    <w:link w:val="Style_12"/>
    <w:rPr>
      <w:b w:val="1"/>
      <w:sz w:val="24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Body Text 2"/>
    <w:basedOn w:val="Style_3"/>
    <w:link w:val="Style_15_ch"/>
    <w:pPr>
      <w:widowControl w:val="1"/>
      <w:spacing w:after="120" w:line="480" w:lineRule="auto"/>
      <w:ind/>
    </w:pPr>
  </w:style>
  <w:style w:styleId="Style_15_ch" w:type="character">
    <w:name w:val="Body Text 2"/>
    <w:basedOn w:val="Style_3_ch"/>
    <w:link w:val="Style_15"/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ConsPlusNonformat"/>
    <w:link w:val="Style_21_ch"/>
    <w:pPr>
      <w:widowControl w:val="0"/>
      <w:ind/>
    </w:pPr>
    <w:rPr>
      <w:rFonts w:ascii="Courier New" w:hAnsi="Courier New"/>
    </w:rPr>
  </w:style>
  <w:style w:styleId="Style_21_ch" w:type="character">
    <w:name w:val="ConsPlusNonformat"/>
    <w:link w:val="Style_21"/>
    <w:rPr>
      <w:rFonts w:ascii="Courier New" w:hAnsi="Courier New"/>
    </w:rPr>
  </w:style>
  <w:style w:styleId="Style_22" w:type="paragraph">
    <w:name w:val="Body Text 3"/>
    <w:basedOn w:val="Style_3"/>
    <w:link w:val="Style_22_ch"/>
    <w:pPr>
      <w:widowControl w:val="1"/>
      <w:spacing w:after="120"/>
      <w:ind/>
    </w:pPr>
    <w:rPr>
      <w:sz w:val="16"/>
    </w:rPr>
  </w:style>
  <w:style w:styleId="Style_22_ch" w:type="character">
    <w:name w:val="Body Text 3"/>
    <w:basedOn w:val="Style_3_ch"/>
    <w:link w:val="Style_22"/>
    <w:rPr>
      <w:sz w:val="16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Знак Знак"/>
    <w:basedOn w:val="Style_3"/>
    <w:link w:val="Style_24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24_ch" w:type="character">
    <w:name w:val="Знак Знак"/>
    <w:basedOn w:val="Style_3_ch"/>
    <w:link w:val="Style_24"/>
    <w:rPr>
      <w:rFonts w:ascii="Tahoma" w:hAnsi="Tahoma"/>
      <w:sz w:val="20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ody Text Indent 2"/>
    <w:basedOn w:val="Style_3"/>
    <w:link w:val="Style_26_ch"/>
    <w:pPr>
      <w:widowControl w:val="1"/>
      <w:spacing w:after="480"/>
      <w:ind w:firstLine="1134"/>
      <w:jc w:val="both"/>
    </w:pPr>
    <w:rPr>
      <w:sz w:val="28"/>
    </w:rPr>
  </w:style>
  <w:style w:styleId="Style_26_ch" w:type="character">
    <w:name w:val="Body Text Indent 2"/>
    <w:basedOn w:val="Style_3_ch"/>
    <w:link w:val="Style_26"/>
    <w:rPr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3"/>
    <w:link w:val="Style_28_ch"/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List Paragraph"/>
    <w:basedOn w:val="Style_3"/>
    <w:link w:val="Style_29_ch"/>
    <w:pPr>
      <w:widowControl w:val="1"/>
      <w:ind w:left="708"/>
    </w:pPr>
  </w:style>
  <w:style w:styleId="Style_29_ch" w:type="character">
    <w:name w:val="List Paragraph"/>
    <w:basedOn w:val="Style_3_ch"/>
    <w:link w:val="Style_29"/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No Spacing"/>
    <w:link w:val="Style_31_ch"/>
    <w:rPr>
      <w:rFonts w:asciiTheme="minorAscii" w:hAnsiTheme="minorHAnsi"/>
      <w:sz w:val="22"/>
    </w:rPr>
  </w:style>
  <w:style w:styleId="Style_31_ch" w:type="character">
    <w:name w:val="No Spacing"/>
    <w:link w:val="Style_31"/>
    <w:rPr>
      <w:rFonts w:asciiTheme="minorAscii" w:hAnsiTheme="minorHAnsi"/>
      <w:sz w:val="22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Title"/>
    <w:next w:val="Style_3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3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Normal (Web)"/>
    <w:basedOn w:val="Style_3"/>
    <w:link w:val="Style_35_ch"/>
    <w:pPr>
      <w:widowControl w:val="1"/>
      <w:spacing w:after="100"/>
      <w:ind/>
    </w:pPr>
  </w:style>
  <w:style w:styleId="Style_35_ch" w:type="character">
    <w:name w:val="Normal (Web)"/>
    <w:basedOn w:val="Style_3_ch"/>
    <w:link w:val="Style_35"/>
  </w:style>
  <w:style w:styleId="Style_36" w:type="paragraph">
    <w:name w:val="heading 2"/>
    <w:next w:val="Style_3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paragraph">
    <w:name w:val="Знак Знак Знак Знак Знак Знак"/>
    <w:basedOn w:val="Style_3"/>
    <w:link w:val="Style_37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37_ch" w:type="character">
    <w:name w:val="Знак Знак Знак Знак Знак Знак"/>
    <w:basedOn w:val="Style_3_ch"/>
    <w:link w:val="Style_37"/>
    <w:rPr>
      <w:rFonts w:ascii="Tahoma" w:hAnsi="Tahoma"/>
      <w:sz w:val="20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2026-07-16T11:22:59Z</dcterms:created>
  <dcterms:modified xsi:type="dcterms:W3CDTF">2026-07-16T11:22:59Z</dcterms:modified>
</cp:coreProperties>
</file>