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 w:firstLine="540"/>
        <w:jc w:val="both"/>
      </w:pPr>
    </w:p>
    <w:p w14:paraId="02000000">
      <w:pPr>
        <w:pStyle w:val="Style_1"/>
        <w:widowControl w:val="1"/>
        <w:ind/>
        <w:jc w:val="right"/>
        <w:outlineLvl w:val="1"/>
      </w:pPr>
      <w:r>
        <w:t>Приложение 4</w:t>
      </w:r>
    </w:p>
    <w:p w14:paraId="03000000">
      <w:pPr>
        <w:pStyle w:val="Style_1"/>
        <w:widowControl w:val="1"/>
        <w:ind/>
        <w:jc w:val="right"/>
      </w:pPr>
      <w:r>
        <w:t>к Порядку проведения оценки</w:t>
      </w:r>
    </w:p>
    <w:p w14:paraId="04000000">
      <w:pPr>
        <w:pStyle w:val="Style_1"/>
        <w:widowControl w:val="1"/>
        <w:ind/>
        <w:jc w:val="right"/>
      </w:pPr>
      <w:r>
        <w:t>регулирующего воздействия проектов</w:t>
      </w:r>
    </w:p>
    <w:p w14:paraId="05000000">
      <w:pPr>
        <w:pStyle w:val="Style_1"/>
        <w:widowControl w:val="1"/>
        <w:ind/>
        <w:jc w:val="right"/>
      </w:pPr>
      <w:r>
        <w:t>нормативных правовых актов</w:t>
      </w:r>
    </w:p>
    <w:p w14:paraId="06000000">
      <w:pPr>
        <w:pStyle w:val="Style_1"/>
        <w:widowControl w:val="1"/>
        <w:ind/>
        <w:jc w:val="right"/>
      </w:pPr>
      <w:r>
        <w:t>Ненецкого автономного округа и</w:t>
      </w:r>
    </w:p>
    <w:p w14:paraId="07000000">
      <w:pPr>
        <w:pStyle w:val="Style_1"/>
        <w:widowControl w:val="1"/>
        <w:ind/>
        <w:jc w:val="right"/>
      </w:pPr>
      <w:r>
        <w:t>экспертизы действующих</w:t>
      </w:r>
    </w:p>
    <w:p w14:paraId="08000000">
      <w:pPr>
        <w:pStyle w:val="Style_1"/>
        <w:widowControl w:val="1"/>
        <w:ind/>
        <w:jc w:val="right"/>
      </w:pPr>
      <w:r>
        <w:t>нормативных правовых актов</w:t>
      </w:r>
    </w:p>
    <w:p w14:paraId="09000000">
      <w:pPr>
        <w:pStyle w:val="Style_1"/>
        <w:widowControl w:val="1"/>
        <w:ind/>
        <w:jc w:val="right"/>
      </w:pPr>
      <w:r>
        <w:t>Ненецкого автономного округа,</w:t>
      </w:r>
    </w:p>
    <w:p w14:paraId="0A000000">
      <w:pPr>
        <w:pStyle w:val="Style_1"/>
        <w:widowControl w:val="1"/>
        <w:ind/>
        <w:jc w:val="right"/>
      </w:pPr>
      <w:r>
        <w:t>утвержденному постановлением</w:t>
      </w:r>
    </w:p>
    <w:p w14:paraId="0B000000">
      <w:pPr>
        <w:pStyle w:val="Style_1"/>
        <w:widowControl w:val="1"/>
        <w:ind/>
        <w:jc w:val="right"/>
      </w:pPr>
      <w:r>
        <w:t>Администрации</w:t>
      </w:r>
    </w:p>
    <w:p w14:paraId="0C000000">
      <w:pPr>
        <w:pStyle w:val="Style_1"/>
        <w:widowControl w:val="1"/>
        <w:ind/>
        <w:jc w:val="right"/>
      </w:pPr>
      <w:r>
        <w:t>Ненецкого автономного округа</w:t>
      </w:r>
    </w:p>
    <w:p w14:paraId="0D000000">
      <w:pPr>
        <w:pStyle w:val="Style_1"/>
        <w:widowControl w:val="1"/>
        <w:ind/>
        <w:jc w:val="right"/>
      </w:pPr>
      <w:r>
        <w:t>от 02.04.2015 № 78-п</w:t>
      </w:r>
    </w:p>
    <w:p w14:paraId="0E000000">
      <w:pPr>
        <w:pStyle w:val="Style_1"/>
        <w:widowControl w:val="1"/>
        <w:ind w:firstLine="540"/>
        <w:jc w:val="both"/>
      </w:pPr>
    </w:p>
    <w:p w14:paraId="0F000000">
      <w:pPr>
        <w:pStyle w:val="Style_2"/>
        <w:widowControl w:val="1"/>
        <w:ind/>
        <w:jc w:val="center"/>
        <w:rPr>
          <w:rFonts w:ascii="Times New Roman" w:hAnsi="Times New Roman"/>
          <w:sz w:val="24"/>
        </w:rPr>
      </w:pPr>
      <w:bookmarkStart w:id="1" w:name="Par917"/>
      <w:bookmarkEnd w:id="1"/>
      <w:r>
        <w:rPr>
          <w:rFonts w:ascii="Times New Roman" w:hAnsi="Times New Roman"/>
          <w:sz w:val="24"/>
        </w:rPr>
        <w:t>УВЕДОМЛЕНИЕ</w:t>
      </w:r>
    </w:p>
    <w:p w14:paraId="10000000">
      <w:pPr>
        <w:pStyle w:val="Style_2"/>
        <w:widowControl w:val="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проведении публичных консультаций</w:t>
      </w:r>
    </w:p>
    <w:p w14:paraId="11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1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Департамент общественной безопасности Ненецкого автономного округа</w:t>
      </w:r>
      <w:r>
        <w:rPr>
          <w:rFonts w:ascii="Times New Roman" w:hAnsi="Times New Roman"/>
          <w:sz w:val="24"/>
        </w:rPr>
        <w:t xml:space="preserve"> извещает о начале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публичных консультаций и приема предложений и ответов заинтересованных лиц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проекту </w:t>
      </w:r>
      <w:r>
        <w:rPr>
          <w:rFonts w:ascii="Times New Roman" w:hAnsi="Times New Roman"/>
          <w:sz w:val="24"/>
        </w:rPr>
        <w:t xml:space="preserve">«Об установлении ограничения продажи несовершеннолетним горюче-смазочных материалов, легковоспламеняющихся жидкостей на территории Ненецкого автономного округа» </w:t>
      </w:r>
    </w:p>
    <w:p w14:paraId="13000000">
      <w:pPr>
        <w:pStyle w:val="Style_2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Предложения и ответы принимаются по адресу: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166000, Ненецкий автономный округ, г. Нарьян-Мар, ул. Смидовича, д.20, </w:t>
      </w:r>
      <w:r>
        <w:rPr>
          <w:rFonts w:ascii="Times New Roman" w:hAnsi="Times New Roman"/>
          <w:sz w:val="24"/>
        </w:rPr>
        <w:t>каб</w:t>
      </w:r>
      <w:r>
        <w:rPr>
          <w:rFonts w:ascii="Times New Roman" w:hAnsi="Times New Roman"/>
          <w:sz w:val="24"/>
        </w:rPr>
        <w:t xml:space="preserve">. № 7, в часы приема </w:t>
      </w:r>
      <w:r>
        <w:rPr>
          <w:rFonts w:ascii="Times New Roman" w:hAnsi="Times New Roman"/>
          <w:sz w:val="24"/>
        </w:rPr>
        <w:t>c</w:t>
      </w:r>
      <w:r>
        <w:rPr>
          <w:rFonts w:ascii="Times New Roman" w:hAnsi="Times New Roman"/>
          <w:sz w:val="24"/>
        </w:rPr>
        <w:t xml:space="preserve"> понедельника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по пятницу с 09:00 до 17:00; обеденный перерыв с 12:30 до 13:30, а также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по адресу электронной почты: </w:t>
      </w:r>
      <w:r>
        <w:rPr>
          <w:rStyle w:val="Style_3_ch"/>
          <w:rFonts w:ascii="Times New Roman" w:hAnsi="Times New Roman"/>
          <w:sz w:val="24"/>
        </w:rPr>
        <w:fldChar w:fldCharType="begin"/>
      </w:r>
      <w:r>
        <w:rPr>
          <w:rStyle w:val="Style_3_ch"/>
          <w:rFonts w:ascii="Times New Roman" w:hAnsi="Times New Roman"/>
          <w:sz w:val="24"/>
        </w:rPr>
        <w:instrText>HYPERLINK "mailto:rnikitina@adm-nao.ru"</w:instrText>
      </w:r>
      <w:r>
        <w:rPr>
          <w:rStyle w:val="Style_3_ch"/>
          <w:rFonts w:ascii="Times New Roman" w:hAnsi="Times New Roman"/>
          <w:sz w:val="24"/>
        </w:rPr>
        <w:fldChar w:fldCharType="separate"/>
      </w:r>
      <w:r>
        <w:rPr>
          <w:rStyle w:val="Style_3_ch"/>
          <w:rFonts w:ascii="Times New Roman" w:hAnsi="Times New Roman"/>
          <w:sz w:val="24"/>
        </w:rPr>
        <w:t>rnikitina</w:t>
      </w:r>
      <w:r>
        <w:rPr>
          <w:rStyle w:val="Style_3_ch"/>
          <w:rFonts w:ascii="Times New Roman" w:hAnsi="Times New Roman"/>
          <w:sz w:val="24"/>
        </w:rPr>
        <w:t>@</w:t>
      </w:r>
      <w:r>
        <w:rPr>
          <w:rStyle w:val="Style_3_ch"/>
          <w:rFonts w:ascii="Times New Roman" w:hAnsi="Times New Roman"/>
          <w:sz w:val="24"/>
        </w:rPr>
        <w:t>adm</w:t>
      </w:r>
      <w:r>
        <w:rPr>
          <w:rStyle w:val="Style_3_ch"/>
          <w:rFonts w:ascii="Times New Roman" w:hAnsi="Times New Roman"/>
          <w:sz w:val="24"/>
        </w:rPr>
        <w:t>-</w:t>
      </w:r>
      <w:r>
        <w:rPr>
          <w:rStyle w:val="Style_3_ch"/>
          <w:rFonts w:ascii="Times New Roman" w:hAnsi="Times New Roman"/>
          <w:sz w:val="24"/>
        </w:rPr>
        <w:t>nao</w:t>
      </w:r>
      <w:r>
        <w:rPr>
          <w:rStyle w:val="Style_3_ch"/>
          <w:rFonts w:ascii="Times New Roman" w:hAnsi="Times New Roman"/>
          <w:sz w:val="24"/>
        </w:rPr>
        <w:t>.</w:t>
      </w:r>
      <w:r>
        <w:rPr>
          <w:rStyle w:val="Style_3_ch"/>
          <w:rFonts w:ascii="Times New Roman" w:hAnsi="Times New Roman"/>
          <w:sz w:val="24"/>
        </w:rPr>
        <w:t>ru</w:t>
      </w:r>
      <w:r>
        <w:rPr>
          <w:rStyle w:val="Style_3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u w:val="single"/>
        </w:rPr>
        <w:t>.</w:t>
      </w:r>
    </w:p>
    <w:p w14:paraId="14000000">
      <w:pPr>
        <w:pStyle w:val="Style_2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Срок приема предложений и ответов: не менее </w:t>
      </w:r>
      <w:r>
        <w:rPr>
          <w:rFonts w:ascii="Times New Roman" w:hAnsi="Times New Roman"/>
          <w:sz w:val="24"/>
        </w:rPr>
        <w:t>20</w:t>
      </w:r>
      <w:bookmarkStart w:id="2" w:name="_GoBack"/>
      <w:bookmarkEnd w:id="2"/>
      <w:r>
        <w:rPr>
          <w:rFonts w:ascii="Times New Roman" w:hAnsi="Times New Roman"/>
          <w:sz w:val="24"/>
        </w:rPr>
        <w:t xml:space="preserve"> рабочих дней со </w:t>
      </w:r>
      <w:r>
        <w:rPr>
          <w:rFonts w:ascii="Times New Roman" w:hAnsi="Times New Roman"/>
          <w:sz w:val="24"/>
        </w:rPr>
        <w:t>дня размещения уведомления.</w:t>
      </w:r>
    </w:p>
    <w:p w14:paraId="15000000">
      <w:pPr>
        <w:pStyle w:val="Style_2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Ответственное лицо:</w:t>
      </w:r>
      <w:r>
        <w:rPr>
          <w:rFonts w:ascii="Times New Roman" w:hAnsi="Times New Roman"/>
          <w:sz w:val="24"/>
        </w:rPr>
        <w:t xml:space="preserve"> Никитина Римма Леонидовна, главный консультант комитета по обеспечению работы комиссий в сфере безопасности и законности Департамента общественной безопасности Ненецкого автономного округа.</w:t>
      </w:r>
    </w:p>
    <w:p w14:paraId="16000000">
      <w:pPr>
        <w:pStyle w:val="Style_2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Контактные данные: </w:t>
      </w:r>
      <w:r>
        <w:rPr>
          <w:rFonts w:ascii="Times New Roman" w:hAnsi="Times New Roman"/>
          <w:sz w:val="24"/>
        </w:rPr>
        <w:t xml:space="preserve">81853 (2-38-49), </w:t>
      </w:r>
      <w:r>
        <w:rPr>
          <w:rStyle w:val="Style_3_ch"/>
          <w:rFonts w:ascii="Times New Roman" w:hAnsi="Times New Roman"/>
          <w:sz w:val="24"/>
        </w:rPr>
        <w:fldChar w:fldCharType="begin"/>
      </w:r>
      <w:r>
        <w:rPr>
          <w:rStyle w:val="Style_3_ch"/>
          <w:rFonts w:ascii="Times New Roman" w:hAnsi="Times New Roman"/>
          <w:sz w:val="24"/>
        </w:rPr>
        <w:instrText>HYPERLINK "mailto:rnikitina@adm-nao.ru"</w:instrText>
      </w:r>
      <w:r>
        <w:rPr>
          <w:rStyle w:val="Style_3_ch"/>
          <w:rFonts w:ascii="Times New Roman" w:hAnsi="Times New Roman"/>
          <w:sz w:val="24"/>
        </w:rPr>
        <w:fldChar w:fldCharType="separate"/>
      </w:r>
      <w:r>
        <w:rPr>
          <w:rStyle w:val="Style_3_ch"/>
          <w:rFonts w:ascii="Times New Roman" w:hAnsi="Times New Roman"/>
          <w:sz w:val="24"/>
        </w:rPr>
        <w:t>rnikitina</w:t>
      </w:r>
      <w:r>
        <w:rPr>
          <w:rStyle w:val="Style_3_ch"/>
          <w:rFonts w:ascii="Times New Roman" w:hAnsi="Times New Roman"/>
          <w:sz w:val="24"/>
        </w:rPr>
        <w:t>@</w:t>
      </w:r>
      <w:r>
        <w:rPr>
          <w:rStyle w:val="Style_3_ch"/>
          <w:rFonts w:ascii="Times New Roman" w:hAnsi="Times New Roman"/>
          <w:sz w:val="24"/>
        </w:rPr>
        <w:t>adm</w:t>
      </w:r>
      <w:r>
        <w:rPr>
          <w:rStyle w:val="Style_3_ch"/>
          <w:rFonts w:ascii="Times New Roman" w:hAnsi="Times New Roman"/>
          <w:sz w:val="24"/>
        </w:rPr>
        <w:t>-</w:t>
      </w:r>
      <w:r>
        <w:rPr>
          <w:rStyle w:val="Style_3_ch"/>
          <w:rFonts w:ascii="Times New Roman" w:hAnsi="Times New Roman"/>
          <w:sz w:val="24"/>
        </w:rPr>
        <w:t>nao</w:t>
      </w:r>
      <w:r>
        <w:rPr>
          <w:rStyle w:val="Style_3_ch"/>
          <w:rFonts w:ascii="Times New Roman" w:hAnsi="Times New Roman"/>
          <w:sz w:val="24"/>
        </w:rPr>
        <w:t>.</w:t>
      </w:r>
      <w:r>
        <w:rPr>
          <w:rStyle w:val="Style_3_ch"/>
          <w:rFonts w:ascii="Times New Roman" w:hAnsi="Times New Roman"/>
          <w:sz w:val="24"/>
        </w:rPr>
        <w:t>ru</w:t>
      </w:r>
      <w:r>
        <w:rPr>
          <w:rStyle w:val="Style_3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u w:val="single"/>
        </w:rPr>
        <w:t>.</w:t>
      </w:r>
    </w:p>
    <w:p w14:paraId="17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18000000">
      <w:pPr>
        <w:pStyle w:val="Style_2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участия в публичных консультациях необходимо заполнить форму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ответить на указанные вопросы (часть вопросов):</w:t>
      </w:r>
    </w:p>
    <w:p w14:paraId="19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1A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Контактная информация: ________________________________________________</w:t>
      </w:r>
    </w:p>
    <w:p w14:paraId="1B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(фамилия, имя, отчество - для физического лица;</w:t>
      </w:r>
    </w:p>
    <w:p w14:paraId="1C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наименование - для юридического лица)</w:t>
      </w:r>
    </w:p>
    <w:p w14:paraId="1D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________________________________________________</w:t>
      </w:r>
    </w:p>
    <w:p w14:paraId="1E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(сфера деятельности автора предложений и ответов)</w:t>
      </w:r>
    </w:p>
    <w:p w14:paraId="1F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_________________________________________________</w:t>
      </w:r>
    </w:p>
    <w:p w14:paraId="20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(номер телефона, адрес электронной почты)</w:t>
      </w:r>
    </w:p>
    <w:p w14:paraId="21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2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Вопрос  1</w:t>
      </w:r>
      <w:r>
        <w:rPr>
          <w:rFonts w:ascii="Times New Roman" w:hAnsi="Times New Roman"/>
          <w:sz w:val="24"/>
        </w:rPr>
        <w:t xml:space="preserve">.  </w:t>
      </w:r>
      <w:r>
        <w:rPr>
          <w:rFonts w:ascii="Times New Roman" w:hAnsi="Times New Roman"/>
          <w:sz w:val="24"/>
        </w:rPr>
        <w:t>Является  ли</w:t>
      </w:r>
      <w:r>
        <w:rPr>
          <w:rFonts w:ascii="Times New Roman" w:hAnsi="Times New Roman"/>
          <w:sz w:val="24"/>
        </w:rPr>
        <w:t xml:space="preserve">  предлагаемое  регулирование  оптимальным способом</w:t>
      </w:r>
    </w:p>
    <w:p w14:paraId="23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решения проблемы?</w:t>
      </w:r>
    </w:p>
    <w:p w14:paraId="24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Ответ:</w:t>
      </w:r>
    </w:p>
    <w:p w14:paraId="25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</w:t>
      </w:r>
      <w:r>
        <w:rPr>
          <w:rFonts w:ascii="Times New Roman" w:hAnsi="Times New Roman"/>
          <w:sz w:val="24"/>
        </w:rPr>
        <w:t>____________________________</w:t>
      </w:r>
    </w:p>
    <w:p w14:paraId="26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7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Вопрос  2</w:t>
      </w:r>
      <w:r>
        <w:rPr>
          <w:rFonts w:ascii="Times New Roman" w:hAnsi="Times New Roman"/>
          <w:sz w:val="24"/>
        </w:rPr>
        <w:t xml:space="preserve">.  </w:t>
      </w:r>
      <w:r>
        <w:rPr>
          <w:rFonts w:ascii="Times New Roman" w:hAnsi="Times New Roman"/>
          <w:sz w:val="24"/>
        </w:rPr>
        <w:t>Какие  риски</w:t>
      </w:r>
      <w:r>
        <w:rPr>
          <w:rFonts w:ascii="Times New Roman" w:hAnsi="Times New Roman"/>
          <w:sz w:val="24"/>
        </w:rPr>
        <w:t xml:space="preserve"> и негативные последствия могут возникнуть в случае</w:t>
      </w:r>
    </w:p>
    <w:p w14:paraId="28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принятия предлагаемого регулирования?</w:t>
      </w:r>
    </w:p>
    <w:p w14:paraId="29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Ответ:</w:t>
      </w:r>
    </w:p>
    <w:p w14:paraId="2A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</w:t>
      </w:r>
      <w:r>
        <w:rPr>
          <w:rFonts w:ascii="Times New Roman" w:hAnsi="Times New Roman"/>
          <w:sz w:val="24"/>
        </w:rPr>
        <w:t>____________________________</w:t>
      </w:r>
    </w:p>
    <w:p w14:paraId="2B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C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Вопрос  3</w:t>
      </w:r>
      <w:r>
        <w:rPr>
          <w:rFonts w:ascii="Times New Roman" w:hAnsi="Times New Roman"/>
          <w:sz w:val="24"/>
        </w:rPr>
        <w:t xml:space="preserve">.  </w:t>
      </w:r>
      <w:r>
        <w:rPr>
          <w:rFonts w:ascii="Times New Roman" w:hAnsi="Times New Roman"/>
          <w:sz w:val="24"/>
        </w:rPr>
        <w:t>Какие  выгоды</w:t>
      </w:r>
      <w:r>
        <w:rPr>
          <w:rFonts w:ascii="Times New Roman" w:hAnsi="Times New Roman"/>
          <w:sz w:val="24"/>
        </w:rPr>
        <w:t xml:space="preserve"> и преимущества могут возникнуть в случае принятия</w:t>
      </w:r>
    </w:p>
    <w:p w14:paraId="2D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предлагаемого регулирования?</w:t>
      </w:r>
    </w:p>
    <w:p w14:paraId="2E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Ответ:</w:t>
      </w:r>
    </w:p>
    <w:p w14:paraId="2F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</w:t>
      </w:r>
      <w:r>
        <w:rPr>
          <w:rFonts w:ascii="Times New Roman" w:hAnsi="Times New Roman"/>
          <w:sz w:val="24"/>
        </w:rPr>
        <w:t>____________________________</w:t>
      </w:r>
    </w:p>
    <w:p w14:paraId="30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31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Вопрос  4</w:t>
      </w:r>
      <w:r>
        <w:rPr>
          <w:rFonts w:ascii="Times New Roman" w:hAnsi="Times New Roman"/>
          <w:sz w:val="24"/>
        </w:rPr>
        <w:t xml:space="preserve">.  </w:t>
      </w:r>
      <w:r>
        <w:rPr>
          <w:rFonts w:ascii="Times New Roman" w:hAnsi="Times New Roman"/>
          <w:sz w:val="24"/>
        </w:rPr>
        <w:t>Существуют  ли</w:t>
      </w:r>
      <w:r>
        <w:rPr>
          <w:rFonts w:ascii="Times New Roman" w:hAnsi="Times New Roman"/>
          <w:sz w:val="24"/>
        </w:rPr>
        <w:t xml:space="preserve">  альтернативные  (менее  затратные и (или) более</w:t>
      </w:r>
    </w:p>
    <w:p w14:paraId="32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эффективные) способы решения проблемы?</w:t>
      </w:r>
    </w:p>
    <w:p w14:paraId="33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Ответ:</w:t>
      </w:r>
    </w:p>
    <w:p w14:paraId="34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</w:t>
      </w:r>
      <w:r>
        <w:rPr>
          <w:rFonts w:ascii="Times New Roman" w:hAnsi="Times New Roman"/>
          <w:sz w:val="24"/>
        </w:rPr>
        <w:t>____________________________</w:t>
      </w:r>
    </w:p>
    <w:p w14:paraId="35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36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Вопрос 5. Ваше мнение по предлагаемому регулированию</w:t>
      </w:r>
    </w:p>
    <w:p w14:paraId="37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Ответ:</w:t>
      </w:r>
    </w:p>
    <w:p w14:paraId="38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</w:t>
      </w:r>
    </w:p>
    <w:p w14:paraId="39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3A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3B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200" w:line="276" w:lineRule="auto"/>
      <w:ind/>
    </w:pPr>
    <w:rPr>
      <w:rFonts w:ascii="Calibri" w:hAnsi="Calibri"/>
    </w:rPr>
  </w:style>
  <w:style w:default="1" w:styleId="Style_4_ch" w:type="character">
    <w:name w:val="Normal"/>
    <w:link w:val="Style_4"/>
    <w:rPr>
      <w:rFonts w:ascii="Calibri" w:hAnsi="Calibri"/>
    </w:rPr>
  </w:style>
  <w:style w:styleId="Style_5" w:type="paragraph">
    <w:name w:val="toc 2"/>
    <w:next w:val="Style_4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2" w:type="paragraph">
    <w:name w:val="ConsPlusNonformat"/>
    <w:link w:val="Style_2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2_ch" w:type="character">
    <w:name w:val="ConsPlusNonformat"/>
    <w:link w:val="Style_2"/>
    <w:rPr>
      <w:rFonts w:ascii="Courier New" w:hAnsi="Courier New"/>
      <w:sz w:val="20"/>
    </w:rPr>
  </w:style>
  <w:style w:styleId="Style_11" w:type="paragraph">
    <w:name w:val="toc 3"/>
    <w:next w:val="Style_4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4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4"/>
    <w:link w:val="Style_13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3" w:type="paragraph">
    <w:name w:val="Hyperlink"/>
    <w:link w:val="Style_3_ch"/>
    <w:rPr>
      <w:color w:val="0000FF"/>
      <w:u w:val="single"/>
    </w:rPr>
  </w:style>
  <w:style w:styleId="Style_3_ch" w:type="character">
    <w:name w:val="Hyperlink"/>
    <w:link w:val="Style_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4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4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4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4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1" w:type="paragraph">
    <w:name w:val="ConsPlusNormal"/>
    <w:link w:val="Style_1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1_ch" w:type="character">
    <w:name w:val="ConsPlusNormal"/>
    <w:link w:val="Style_1"/>
    <w:rPr>
      <w:rFonts w:ascii="Times New Roman" w:hAnsi="Times New Roman"/>
      <w:sz w:val="24"/>
    </w:rPr>
  </w:style>
  <w:style w:styleId="Style_21" w:type="paragraph">
    <w:name w:val="Subtitle"/>
    <w:next w:val="Style_4"/>
    <w:link w:val="Style_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4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4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4"/>
    <w:link w:val="Style_2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2026-07-20T09:23:03Z</dcterms:created>
  <dcterms:modified xsi:type="dcterms:W3CDTF">2026-07-20T10:44:22Z</dcterms:modified>
</cp:coreProperties>
</file>