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6.xml" ContentType="application/vnd.openxmlformats-officedocument.wordprocessingml.header+xml"/>
  <Override PartName="/word/header55.xml" ContentType="application/vnd.openxmlformats-officedocument.wordprocessingml.header+xml"/>
  <Override PartName="/word/header54.xml" ContentType="application/vnd.openxmlformats-officedocument.wordprocessingml.header+xml"/>
  <Override PartName="/word/header53.xml" ContentType="application/vnd.openxmlformats-officedocument.wordprocessingml.header+xml"/>
  <Override PartName="/word/header52.xml" ContentType="application/vnd.openxmlformats-officedocument.wordprocessingml.header+xml"/>
  <Override PartName="/word/header51.xml" ContentType="application/vnd.openxmlformats-officedocument.wordprocessingml.header+xml"/>
  <Override PartName="/word/header50.xml" ContentType="application/vnd.openxmlformats-officedocument.wordprocessingml.header+xml"/>
  <Override PartName="/word/header9.xml" ContentType="application/vnd.openxmlformats-officedocument.wordprocessingml.header+xml"/>
  <Override PartName="/word/header46.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15.xml" ContentType="application/vnd.openxmlformats-officedocument.wordprocessingml.header+xml"/>
  <Override PartName="/word/header7.xml" ContentType="application/vnd.openxmlformats-officedocument.wordprocessingml.header+xml"/>
  <Override PartName="/word/header16.xml" ContentType="application/vnd.openxmlformats-officedocument.wordprocessingml.header+xml"/>
  <Override PartName="/word/header8.xml" ContentType="application/vnd.openxmlformats-officedocument.wordprocessingml.header+xml"/>
  <Override PartName="/word/header17.xml" ContentType="application/vnd.openxmlformats-officedocument.wordprocessingml.header+xml"/>
  <Override PartName="/word/styles.xml" ContentType="application/vnd.openxmlformats-officedocument.wordprocessingml.styles+xml"/>
  <Override PartName="/word/header25.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57.xml" ContentType="application/vnd.openxmlformats-officedocument.wordprocessingml.header+xml"/>
  <Override PartName="/word/header22.xml" ContentType="application/vnd.openxmlformats-officedocument.wordprocessingml.header+xml"/>
  <Override PartName="/word/header59.xml" ContentType="application/vnd.openxmlformats-officedocument.wordprocessingml.header+xml"/>
  <Override PartName="/word/theme/theme1.xml" ContentType="application/vnd.openxmlformats-officedocument.theme+xml"/>
  <Override PartName="/word/header63.xml" ContentType="application/vnd.openxmlformats-officedocument.wordprocessingml.header+xml"/>
  <Override PartName="/word/header39.xml" ContentType="application/vnd.openxmlformats-officedocument.wordprocessingml.header+xml"/>
  <Override PartName="/word/header19.xml" ContentType="application/vnd.openxmlformats-officedocument.wordprocessingml.header+xml"/>
  <Override PartName="/word/header61.xml" ContentType="application/vnd.openxmlformats-officedocument.wordprocessingml.header+xml"/>
  <Override PartName="/word/header21.xml" ContentType="application/vnd.openxmlformats-officedocument.wordprocessingml.header+xml"/>
  <Override PartName="/word/header58.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header27.xml" ContentType="application/vnd.openxmlformats-officedocument.wordprocessingml.header+xml"/>
  <Override PartName="/word/header26.xml" ContentType="application/vnd.openxmlformats-officedocument.wordprocessingml.header+xml"/>
  <Override PartName="/word/header24.xml" ContentType="application/vnd.openxmlformats-officedocument.wordprocessingml.header+xml"/>
  <Override PartName="/word/header60.xml" ContentType="application/vnd.openxmlformats-officedocument.wordprocessingml.header+xml"/>
  <Override PartName="/word/footnotes.xml" ContentType="application/vnd.openxmlformats-officedocument.wordprocessingml.footnotes+xml"/>
  <Override PartName="/word/header62.xml" ContentType="application/vnd.openxmlformats-officedocument.wordprocessingml.header+xml"/>
  <Override PartName="/word/header23.xml" ContentType="application/vnd.openxmlformats-officedocument.wordprocessingml.header+xml"/>
  <Override PartName="/word/header13.xml" ContentType="application/vnd.openxmlformats-officedocument.wordprocessingml.header+xml"/>
  <Override PartName="/word/header4.xml" ContentType="application/vnd.openxmlformats-officedocument.wordprocessingml.header+xml"/>
  <Override PartName="/word/header12.xml" ContentType="application/vnd.openxmlformats-officedocument.wordprocessingml.header+xml"/>
  <Override PartName="/word/header3.xml" ContentType="application/vnd.openxmlformats-officedocument.wordprocessingml.header+xml"/>
  <Override PartName="/word/header49.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word/header47.xml" ContentType="application/vnd.openxmlformats-officedocument.wordprocessingml.header+xml"/>
  <Override PartName="/word/header2.xml" ContentType="application/vnd.openxmlformats-officedocument.wordprocessingml.header+xml"/>
  <Override PartName="/word/header11.xml" ContentType="application/vnd.openxmlformats-officedocument.wordprocessingml.header+xml"/>
  <Override PartName="/word/header48.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Override PartName="/word/header33.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2"/>
        <w:shd w:val="clear" w:color="auto" w:fill="auto"/>
        <w:spacing w:lineRule="auto" w:line="240" w:before="0" w:afterAutospacing="0" w:after="0"/>
        <w:ind w:hanging="0" w:left="5669" w:right="0"/>
        <w:jc w:val="left"/>
        <w:rPr>
          <w:sz w:val="24"/>
          <w:szCs w:val="24"/>
          <w:highlight w:val="none"/>
        </w:rPr>
      </w:pPr>
      <w:r>
        <w:rPr>
          <w:b w:val="false"/>
          <w:color w:val="auto"/>
          <w:sz w:val="24"/>
          <w:szCs w:val="24"/>
          <w:highlight w:val="white"/>
        </w:rPr>
        <w:t>ПРИЛОЖЕНИЕ</w:t>
      </w:r>
      <w:bookmarkStart w:id="0" w:name="_GoBack"/>
      <w:bookmarkEnd w:id="0"/>
    </w:p>
    <w:p>
      <w:pPr>
        <w:pStyle w:val="32"/>
        <w:shd w:val="clear" w:color="auto" w:fill="auto"/>
        <w:spacing w:lineRule="auto" w:line="240" w:before="0" w:afterAutospacing="0" w:after="0"/>
        <w:ind w:hanging="0" w:left="5669" w:right="0"/>
        <w:jc w:val="left"/>
        <w:rPr>
          <w:b w:val="false"/>
          <w:bCs w:val="false"/>
          <w:color w:val="auto"/>
          <w:sz w:val="24"/>
          <w:szCs w:val="24"/>
          <w:highlight w:val="white"/>
        </w:rPr>
      </w:pPr>
      <w:r>
        <w:rPr>
          <w:b w:val="false"/>
          <w:bCs w:val="false"/>
          <w:color w:val="auto"/>
          <w:sz w:val="24"/>
          <w:szCs w:val="24"/>
        </w:rPr>
        <w:t xml:space="preserve">к протоколу </w:t>
      </w:r>
      <w:r>
        <w:rPr>
          <w:b w:val="false"/>
          <w:bCs w:val="false"/>
          <w:color w:val="auto"/>
          <w:sz w:val="24"/>
          <w:szCs w:val="24"/>
          <w:highlight w:val="white"/>
        </w:rPr>
        <w:t>заочного заседания</w:t>
      </w:r>
    </w:p>
    <w:p>
      <w:pPr>
        <w:pStyle w:val="32"/>
        <w:shd w:val="clear" w:color="auto" w:fill="auto"/>
        <w:spacing w:lineRule="auto" w:line="240" w:before="0" w:afterAutospacing="0" w:after="0"/>
        <w:ind w:hanging="0" w:left="5669" w:right="0"/>
        <w:jc w:val="left"/>
        <w:rPr>
          <w:b w:val="false"/>
          <w:bCs w:val="false"/>
          <w:color w:val="auto"/>
          <w:sz w:val="24"/>
          <w:szCs w:val="24"/>
          <w:highlight w:val="white"/>
        </w:rPr>
      </w:pPr>
      <w:r>
        <w:rPr>
          <w:b w:val="false"/>
          <w:bCs w:val="false"/>
          <w:color w:val="auto"/>
          <w:sz w:val="24"/>
          <w:szCs w:val="24"/>
          <w:highlight w:val="white"/>
        </w:rPr>
        <w:t>членов проектного комитета</w:t>
      </w:r>
    </w:p>
    <w:p>
      <w:pPr>
        <w:pStyle w:val="32"/>
        <w:shd w:val="clear" w:color="auto" w:fill="auto"/>
        <w:spacing w:lineRule="auto" w:line="240" w:before="0" w:afterAutospacing="0" w:after="0"/>
        <w:ind w:hanging="0" w:left="5669" w:right="0"/>
        <w:jc w:val="left"/>
        <w:rPr>
          <w:b w:val="false"/>
          <w:bCs w:val="false"/>
          <w:color w:val="auto"/>
          <w:sz w:val="24"/>
          <w:szCs w:val="24"/>
          <w:highlight w:val="white"/>
        </w:rPr>
      </w:pPr>
      <w:r>
        <w:rPr>
          <w:b w:val="false"/>
          <w:bCs w:val="false"/>
          <w:color w:val="auto"/>
          <w:sz w:val="24"/>
          <w:szCs w:val="24"/>
          <w:highlight w:val="white"/>
        </w:rPr>
        <w:t>по национальному проекту</w:t>
      </w:r>
    </w:p>
    <w:p>
      <w:pPr>
        <w:pStyle w:val="32"/>
        <w:shd w:val="clear" w:color="auto" w:fill="auto"/>
        <w:spacing w:lineRule="auto" w:line="240" w:before="0" w:afterAutospacing="0" w:after="0"/>
        <w:ind w:hanging="0" w:left="5669" w:right="0"/>
        <w:jc w:val="left"/>
        <w:rPr>
          <w:sz w:val="24"/>
          <w:szCs w:val="24"/>
        </w:rPr>
      </w:pPr>
      <w:r>
        <w:rPr>
          <w:b w:val="false"/>
          <w:bCs w:val="false"/>
          <w:color w:val="auto"/>
          <w:sz w:val="24"/>
          <w:szCs w:val="24"/>
          <w:highlight w:val="white"/>
        </w:rPr>
        <w:t>"Международная кооперация и экспорт"</w:t>
      </w:r>
    </w:p>
    <w:p>
      <w:pPr>
        <w:pStyle w:val="32"/>
        <w:shd w:val="clear" w:color="auto" w:fill="auto"/>
        <w:spacing w:lineRule="auto" w:line="240" w:before="0" w:afterAutospacing="0" w:after="0"/>
        <w:ind w:hanging="0" w:left="5669" w:right="0"/>
        <w:jc w:val="left"/>
        <w:rPr>
          <w:b w:val="false"/>
          <w:bCs w:val="false"/>
          <w:color w:val="auto"/>
          <w:sz w:val="24"/>
          <w:szCs w:val="24"/>
          <w:highlight w:val="white"/>
        </w:rPr>
      </w:pPr>
      <w:r>
        <w:rPr>
          <w:b w:val="false"/>
          <w:bCs w:val="false"/>
          <w:color w:val="auto"/>
          <w:sz w:val="24"/>
          <w:szCs w:val="24"/>
          <w:highlight w:val="white"/>
        </w:rPr>
        <w:t>от 25 декабря 2025 г. № 8пр</w:t>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before="0" w:afterAutospacing="0" w:after="0"/>
        <w:jc w:val="right"/>
        <w:rPr>
          <w:b w:val="false"/>
          <w:bCs w:val="false"/>
          <w:color w:val="auto"/>
          <w:sz w:val="28"/>
          <w:szCs w:val="28"/>
          <w:highlight w:val="white"/>
        </w:rPr>
      </w:pPr>
      <w:r>
        <w:rPr>
          <w:b w:val="false"/>
          <w:bCs w:val="false"/>
          <w:color w:val="auto"/>
          <w:sz w:val="28"/>
          <w:szCs w:val="28"/>
          <w:highlight w:val="white"/>
        </w:rPr>
      </w:r>
    </w:p>
    <w:p>
      <w:pPr>
        <w:pStyle w:val="32"/>
        <w:shd w:val="clear" w:color="auto" w:fill="auto"/>
        <w:spacing w:lineRule="auto" w:line="240"/>
        <w:rPr>
          <w:color w:val="auto"/>
          <w:highlight w:val="white"/>
        </w:rPr>
      </w:pPr>
      <w:r>
        <w:rPr>
          <w:color w:val="auto"/>
          <w:highlight w:val="white"/>
        </w:rPr>
      </w:r>
    </w:p>
    <w:p>
      <w:pPr>
        <w:pStyle w:val="32"/>
        <w:shd w:val="clear" w:color="auto" w:fill="auto"/>
        <w:spacing w:lineRule="auto" w:line="240"/>
        <w:rPr>
          <w:color w:val="auto"/>
          <w:highlight w:val="white"/>
        </w:rPr>
      </w:pPr>
      <w:r>
        <w:rPr>
          <w:color w:val="auto"/>
          <w:highlight w:val="white"/>
        </w:rPr>
        <w:t>СТАНДАРТ</w:t>
      </w:r>
      <w:r>
        <w:rPr>
          <w:color w:val="auto"/>
          <w:highlight w:val="white"/>
        </w:rPr>
        <w:br w:type="textWrapping" w:clear="all"/>
      </w:r>
      <w:r>
        <w:rPr>
          <w:color w:val="auto"/>
          <w:highlight w:val="white"/>
        </w:rPr>
        <w:t xml:space="preserve">по </w:t>
      </w:r>
      <w:bookmarkStart w:id="1" w:name="_Hlk216195881"/>
      <w:r>
        <w:rPr>
          <w:color w:val="auto"/>
          <w:highlight w:val="white"/>
        </w:rPr>
        <w:t>обеспечению благоприятных условий</w:t>
      </w:r>
      <w:r>
        <w:rPr>
          <w:color w:val="auto"/>
          <w:highlight w:val="white"/>
        </w:rPr>
        <w:br w:type="textWrapping" w:clear="all"/>
      </w:r>
      <w:r>
        <w:rPr>
          <w:color w:val="auto"/>
          <w:highlight w:val="white"/>
        </w:rPr>
        <w:t>для развития экспортной деятельности</w:t>
      </w:r>
      <w:r>
        <w:rPr>
          <w:color w:val="auto"/>
          <w:highlight w:val="white"/>
        </w:rPr>
        <w:br w:type="textWrapping" w:clear="all"/>
      </w:r>
      <w:r>
        <w:rPr>
          <w:color w:val="auto"/>
          <w:highlight w:val="white"/>
        </w:rPr>
        <w:t>в субъектах Российской Федерации</w:t>
      </w:r>
      <w:r>
        <w:rPr>
          <w:color w:val="auto"/>
          <w:highlight w:val="white"/>
        </w:rPr>
        <w:br w:type="textWrapping" w:clear="all"/>
      </w:r>
      <w:bookmarkEnd w:id="1"/>
      <w:r>
        <w:rPr>
          <w:color w:val="auto"/>
          <w:highlight w:val="white"/>
        </w:rPr>
        <w:t>(Региональный экспортный стандарт)</w:t>
      </w:r>
    </w:p>
    <w:p>
      <w:pPr>
        <w:pStyle w:val="14"/>
        <w:shd w:val="clear" w:color="auto" w:fill="auto"/>
        <w:spacing w:before="0" w:after="5640"/>
        <w:jc w:val="center"/>
        <w:rPr>
          <w:color w:val="auto"/>
          <w:highlight w:val="white"/>
        </w:rPr>
      </w:pPr>
      <w:r>
        <w:rPr>
          <w:color w:val="auto"/>
          <w:highlight w:val="white"/>
        </w:rPr>
        <w:t>Версия 3.0</w:t>
      </w:r>
    </w:p>
    <w:p>
      <w:pPr>
        <w:pStyle w:val="14"/>
        <w:shd w:val="clear" w:color="auto" w:fill="auto"/>
        <w:spacing w:before="0" w:after="0"/>
        <w:jc w:val="center"/>
        <w:rPr>
          <w:color w:val="auto"/>
          <w:highlight w:val="white"/>
        </w:rPr>
      </w:pPr>
      <w:r>
        <w:rPr>
          <w:color w:val="auto"/>
          <w:highlight w:val="white"/>
        </w:rPr>
      </w:r>
    </w:p>
    <w:p>
      <w:pPr>
        <w:sectPr>
          <w:headerReference w:type="even" r:id="rId2"/>
          <w:headerReference w:type="default" r:id="rId3"/>
          <w:headerReference w:type="first" r:id="rId4"/>
          <w:type w:val="nextPage"/>
          <w:pgSz w:w="11906" w:h="16838"/>
          <w:pgMar w:left="1134" w:right="850" w:gutter="0" w:header="0" w:top="1134" w:footer="0" w:bottom="1134"/>
          <w:pgNumType w:fmt="decimal"/>
          <w:formProt w:val="false"/>
          <w:titlePg/>
          <w:textDirection w:val="lrTb"/>
          <w:docGrid w:type="default" w:linePitch="360" w:charSpace="0"/>
        </w:sectPr>
        <w:pStyle w:val="14"/>
        <w:shd w:val="clear" w:color="auto" w:fill="auto"/>
        <w:spacing w:lineRule="auto" w:line="338" w:before="0" w:after="0"/>
        <w:jc w:val="center"/>
        <w:rPr>
          <w:color w:val="auto"/>
          <w:highlight w:val="white"/>
        </w:rPr>
      </w:pPr>
      <w:r>
        <w:rPr>
          <w:color w:val="auto"/>
          <w:highlight w:val="white"/>
        </w:rPr>
        <w:t>Москва</w:t>
        <w:br/>
        <w:t>2025</w:t>
      </w:r>
    </w:p>
    <w:p>
      <w:pPr>
        <w:sectPr>
          <w:headerReference w:type="even" r:id="rId5"/>
          <w:headerReference w:type="default" r:id="rId6"/>
          <w:headerReference w:type="first" r:id="rId7"/>
          <w:type w:val="nextPage"/>
          <w:pgSz w:w="11906" w:h="16838"/>
          <w:pgMar w:left="1134" w:right="850" w:gutter="0" w:header="0" w:top="1276" w:footer="0" w:bottom="1134"/>
          <w:pgNumType w:start="2" w:fmt="decimal"/>
          <w:formProt w:val="false"/>
          <w:textDirection w:val="lrTb"/>
          <w:docGrid w:type="default" w:linePitch="360" w:charSpace="0"/>
        </w:sectPr>
        <w:pStyle w:val="14"/>
        <w:shd w:val="clear" w:color="auto" w:fill="auto"/>
        <w:spacing w:before="0" w:after="0"/>
        <w:rPr>
          <w:color w:val="auto"/>
          <w:highlight w:val="white"/>
        </w:rPr>
      </w:pPr>
      <w:r>
        <w:rPr>
          <w:color w:val="auto"/>
          <w:highlight w:val="white"/>
        </w:rPr>
        <w:t>Стандарт по обеспечению благоприятных условий для развития экспортной деятельности в субъектах Российской Федерации (Региональный экспортный стандарт) разработан в соответствии с планом национального проекта «Международная кооперация и экспорт» и входящего в его структуру федерального проекта «Системные меры развития международной кооперации и экспорта» в целях совершенствования институциональной экспортной среды в субъектах Российской Федерации.</w:t>
      </w:r>
    </w:p>
    <w:p>
      <w:pPr>
        <w:pStyle w:val="27"/>
        <w:keepNext w:val="true"/>
        <w:keepLines/>
        <w:shd w:val="clear" w:color="auto" w:fill="auto"/>
        <w:spacing w:before="0" w:after="283"/>
        <w:jc w:val="center"/>
        <w:rPr>
          <w:color w:val="auto"/>
          <w:highlight w:val="white"/>
        </w:rPr>
      </w:pPr>
      <w:bookmarkStart w:id="2" w:name="bookmark1"/>
      <w:r>
        <w:rPr>
          <w:color w:val="auto"/>
          <w:highlight w:val="white"/>
        </w:rPr>
        <w:t>СОДЕРЖАНИЕ</w:t>
      </w:r>
      <w:bookmarkEnd w:id="2"/>
    </w:p>
    <w:p>
      <w:pPr>
        <w:pStyle w:val="25"/>
        <w:shd w:val="clear" w:color="auto" w:fill="auto"/>
        <w:spacing w:before="0" w:after="102"/>
        <w:rPr>
          <w:color w:val="auto"/>
          <w:highlight w:val="white"/>
        </w:rPr>
      </w:pPr>
      <w:r>
        <w:rPr>
          <w:b/>
          <w:bCs/>
          <w:color w:val="auto"/>
          <w:highlight w:val="white"/>
        </w:rPr>
        <w:t>Введение</w:t>
      </w:r>
    </w:p>
    <w:p>
      <w:pPr>
        <w:pStyle w:val="25"/>
        <w:shd w:val="clear" w:color="auto" w:fill="auto"/>
        <w:spacing w:before="0" w:after="102"/>
        <w:rPr>
          <w:color w:val="auto"/>
          <w:highlight w:val="white"/>
        </w:rPr>
      </w:pPr>
      <w:r>
        <w:rPr>
          <w:b/>
          <w:bCs/>
          <w:color w:val="auto"/>
          <w:highlight w:val="white"/>
        </w:rPr>
        <w:t>Условные обозначения</w:t>
      </w:r>
    </w:p>
    <w:p>
      <w:pPr>
        <w:pStyle w:val="25"/>
        <w:shd w:val="clear" w:color="auto" w:fill="auto"/>
        <w:spacing w:before="0" w:after="102"/>
        <w:rPr>
          <w:color w:val="auto"/>
          <w:highlight w:val="white"/>
        </w:rPr>
      </w:pPr>
      <w:r>
        <w:rPr>
          <w:b/>
          <w:bCs/>
          <w:color w:val="auto"/>
          <w:highlight w:val="white"/>
        </w:rPr>
        <w:t>I. Создание платформы для развития экспорта в субъекте Российской Федерации</w:t>
      </w:r>
    </w:p>
    <w:p>
      <w:pPr>
        <w:pStyle w:val="14"/>
        <w:shd w:val="clear" w:color="auto" w:fill="auto"/>
        <w:spacing w:before="0" w:after="57"/>
        <w:rPr>
          <w:color w:val="auto"/>
          <w:highlight w:val="white"/>
        </w:rPr>
      </w:pPr>
      <w:r>
        <w:rPr>
          <w:color w:val="auto"/>
          <w:highlight w:val="white"/>
        </w:rPr>
        <w:t>Инструмент 1. Закрепление развития экспорта в документах стратегического планирования субъекта Российской Федерации</w:t>
      </w:r>
    </w:p>
    <w:p>
      <w:pPr>
        <w:pStyle w:val="14"/>
        <w:shd w:val="clear" w:color="auto" w:fill="auto"/>
        <w:spacing w:before="0" w:after="57"/>
        <w:rPr>
          <w:color w:val="auto"/>
          <w:highlight w:val="white"/>
        </w:rPr>
      </w:pPr>
      <w:r>
        <w:rPr>
          <w:color w:val="auto"/>
          <w:highlight w:val="white"/>
        </w:rPr>
        <w:t>Инструмент 2. Формирование управленческой команды субъекта Российской Федерации</w:t>
      </w:r>
    </w:p>
    <w:p>
      <w:pPr>
        <w:pStyle w:val="14"/>
        <w:shd w:val="clear" w:color="auto" w:fill="auto"/>
        <w:spacing w:before="0" w:after="57"/>
        <w:rPr>
          <w:color w:val="auto"/>
          <w:highlight w:val="white"/>
        </w:rPr>
      </w:pPr>
      <w:r>
        <w:rPr>
          <w:color w:val="auto"/>
          <w:highlight w:val="white"/>
        </w:rPr>
        <w:t>Инструмент 3. Разработка и реализация Региональной программы развития экспорта субъекта Российской Федерации</w:t>
      </w:r>
    </w:p>
    <w:p>
      <w:pPr>
        <w:pStyle w:val="14"/>
        <w:shd w:val="clear" w:color="auto" w:fill="auto"/>
        <w:spacing w:before="0" w:after="57"/>
        <w:rPr>
          <w:color w:val="auto"/>
          <w:highlight w:val="white"/>
        </w:rPr>
      </w:pPr>
      <w:r>
        <w:rPr>
          <w:color w:val="auto"/>
          <w:highlight w:val="white"/>
        </w:rPr>
        <w:t>Инструмент 4. Обеспечение деятельности Экспортного совета при высшем должностном лице субъекта Российской Федерации</w:t>
      </w:r>
    </w:p>
    <w:p>
      <w:pPr>
        <w:pStyle w:val="14"/>
        <w:shd w:val="clear" w:color="auto" w:fill="auto"/>
        <w:spacing w:before="0" w:after="57"/>
        <w:rPr>
          <w:color w:val="auto"/>
          <w:highlight w:val="white"/>
        </w:rPr>
      </w:pPr>
      <w:r>
        <w:rPr>
          <w:color w:val="auto"/>
          <w:highlight w:val="white"/>
        </w:rPr>
        <w:t>Инструмент 5. Создание и обеспечение деятельности Центра поддержки экспорта</w:t>
      </w:r>
    </w:p>
    <w:p>
      <w:pPr>
        <w:pStyle w:val="14"/>
        <w:shd w:val="clear" w:color="auto" w:fill="auto"/>
        <w:spacing w:before="0" w:after="102"/>
        <w:rPr>
          <w:color w:val="auto"/>
          <w:highlight w:val="white"/>
        </w:rPr>
      </w:pPr>
      <w:r>
        <w:rPr>
          <w:color w:val="auto"/>
          <w:highlight w:val="white"/>
        </w:rPr>
        <w:t>Инструмент 6. Формирование и анализ базы экспортеров и базы потенциальных экспортеров в субъекте Российской Федерации и проведение экспортного аудита</w:t>
      </w:r>
    </w:p>
    <w:p>
      <w:pPr>
        <w:pStyle w:val="25"/>
        <w:numPr>
          <w:ilvl w:val="0"/>
          <w:numId w:val="1"/>
        </w:numPr>
        <w:shd w:val="clear" w:color="auto" w:fill="auto"/>
        <w:tabs>
          <w:tab w:val="clear" w:pos="709"/>
          <w:tab w:val="left" w:pos="467" w:leader="none"/>
        </w:tabs>
        <w:spacing w:before="0" w:after="102"/>
        <w:rPr>
          <w:color w:val="auto"/>
          <w:highlight w:val="white"/>
        </w:rPr>
      </w:pPr>
      <w:r>
        <w:rPr>
          <w:b/>
          <w:bCs/>
          <w:color w:val="auto"/>
          <w:highlight w:val="white"/>
        </w:rPr>
        <w:t>Обеспечение доступности мер государственной поддержки экспортной деятельности в субъекте Российской Федерации</w:t>
      </w:r>
    </w:p>
    <w:p>
      <w:pPr>
        <w:pStyle w:val="14"/>
        <w:shd w:val="clear" w:color="auto" w:fill="auto"/>
        <w:spacing w:before="0" w:after="57"/>
        <w:rPr>
          <w:color w:val="auto"/>
          <w:highlight w:val="white"/>
        </w:rPr>
      </w:pPr>
      <w:r>
        <w:rPr>
          <w:color w:val="auto"/>
          <w:highlight w:val="white"/>
        </w:rPr>
        <w:t>Инструмент 7. Региональные меры государственной поддержки экспорта</w:t>
      </w:r>
    </w:p>
    <w:p>
      <w:pPr>
        <w:pStyle w:val="14"/>
        <w:shd w:val="clear" w:color="auto" w:fill="auto"/>
        <w:spacing w:before="0" w:after="102"/>
        <w:rPr>
          <w:color w:val="auto"/>
          <w:highlight w:val="white"/>
        </w:rPr>
      </w:pPr>
      <w:r>
        <w:rPr>
          <w:color w:val="auto"/>
          <w:highlight w:val="white"/>
        </w:rPr>
        <w:t>Инструмент 8. Цифровизация мер поддержки экспорта</w:t>
      </w:r>
    </w:p>
    <w:p>
      <w:pPr>
        <w:pStyle w:val="25"/>
        <w:numPr>
          <w:ilvl w:val="0"/>
          <w:numId w:val="1"/>
        </w:numPr>
        <w:shd w:val="clear" w:color="auto" w:fill="auto"/>
        <w:tabs>
          <w:tab w:val="clear" w:pos="709"/>
          <w:tab w:val="left" w:pos="726" w:leader="none"/>
        </w:tabs>
        <w:spacing w:before="0" w:after="102"/>
        <w:rPr>
          <w:color w:val="auto"/>
          <w:highlight w:val="white"/>
        </w:rPr>
      </w:pPr>
      <w:r>
        <w:rPr>
          <w:b/>
          <w:bCs/>
          <w:color w:val="auto"/>
          <w:highlight w:val="white"/>
        </w:rPr>
        <w:t>Формирование кадрового обеспечения для развития экспорта в субъекте Российской Федерации</w:t>
      </w:r>
    </w:p>
    <w:p>
      <w:pPr>
        <w:pStyle w:val="14"/>
        <w:shd w:val="clear" w:color="auto" w:fill="auto"/>
        <w:spacing w:before="0" w:after="57"/>
        <w:rPr>
          <w:color w:val="auto"/>
          <w:highlight w:val="white"/>
        </w:rPr>
      </w:pPr>
      <w:r>
        <w:rPr>
          <w:color w:val="auto"/>
          <w:highlight w:val="white"/>
        </w:rPr>
        <w:t>Инструмент 9. Обучение управленческой команды субъекта Российской Федерации</w:t>
      </w:r>
    </w:p>
    <w:p>
      <w:pPr>
        <w:pStyle w:val="14"/>
        <w:shd w:val="clear" w:color="auto" w:fill="auto"/>
        <w:spacing w:before="0" w:after="57"/>
        <w:rPr>
          <w:color w:val="auto"/>
          <w:highlight w:val="white"/>
        </w:rPr>
      </w:pPr>
      <w:r>
        <w:rPr>
          <w:color w:val="auto"/>
          <w:highlight w:val="white"/>
        </w:rPr>
        <w:t>Инструмент 10. Информационно-образовательная поддержка экспортно ориентированных субъектов предпринимательства по основам экспортной деятельности</w:t>
      </w:r>
    </w:p>
    <w:p>
      <w:pPr>
        <w:pStyle w:val="14"/>
        <w:shd w:val="clear" w:color="auto" w:fill="auto"/>
        <w:spacing w:before="0" w:after="57"/>
        <w:rPr>
          <w:color w:val="auto"/>
          <w:highlight w:val="white"/>
        </w:rPr>
      </w:pPr>
      <w:r>
        <w:rPr>
          <w:color w:val="auto"/>
          <w:highlight w:val="white"/>
        </w:rPr>
        <w:t>Инструмент 11. Реализация на территории субъекта Российской Федерации акселерационных программ и других комплексных мероприятий развития экспорта</w:t>
      </w:r>
    </w:p>
    <w:p>
      <w:pPr>
        <w:pStyle w:val="14"/>
        <w:shd w:val="clear" w:color="auto" w:fill="auto"/>
        <w:spacing w:before="0" w:after="102"/>
        <w:rPr>
          <w:color w:val="auto"/>
          <w:highlight w:val="white"/>
        </w:rPr>
      </w:pPr>
      <w:r>
        <w:rPr>
          <w:color w:val="auto"/>
          <w:highlight w:val="white"/>
        </w:rPr>
        <w:t>Инструмент 12. Создание и развитие системы подготовки кадров для сферы внешнеэкономической деятельности на базе высших учебных заведений</w:t>
      </w:r>
    </w:p>
    <w:p>
      <w:pPr>
        <w:pStyle w:val="25"/>
        <w:numPr>
          <w:ilvl w:val="0"/>
          <w:numId w:val="1"/>
        </w:numPr>
        <w:shd w:val="clear" w:color="auto" w:fill="auto"/>
        <w:tabs>
          <w:tab w:val="clear" w:pos="709"/>
          <w:tab w:val="left" w:pos="665" w:leader="none"/>
        </w:tabs>
        <w:spacing w:before="0" w:after="102"/>
        <w:rPr>
          <w:color w:val="auto"/>
          <w:highlight w:val="white"/>
        </w:rPr>
      </w:pPr>
      <w:r>
        <w:rPr>
          <w:b/>
          <w:bCs/>
          <w:color w:val="auto"/>
          <w:highlight w:val="white"/>
        </w:rPr>
        <w:t xml:space="preserve">Механизмы продвижения региона на зарубежных рынках </w:t>
      </w:r>
      <w:r>
        <w:rPr>
          <w:b/>
          <w:bCs/>
          <w:color w:val="auto"/>
          <w:highlight w:val="white"/>
        </w:rPr>
        <w:br w:type="textWrapping" w:clear="all"/>
      </w:r>
      <w:r>
        <w:rPr>
          <w:b/>
          <w:bCs/>
          <w:color w:val="auto"/>
          <w:highlight w:val="white"/>
        </w:rPr>
        <w:t>и популяризация экспортной деятельности в субъекте Российской Федерации</w:t>
      </w:r>
    </w:p>
    <w:p>
      <w:pPr>
        <w:pStyle w:val="14"/>
        <w:shd w:val="clear" w:color="auto" w:fill="auto"/>
        <w:spacing w:before="0" w:after="57"/>
        <w:rPr>
          <w:color w:val="auto"/>
          <w:highlight w:val="white"/>
        </w:rPr>
      </w:pPr>
      <w:r>
        <w:rPr>
          <w:color w:val="auto"/>
          <w:highlight w:val="white"/>
        </w:rPr>
        <w:t>Инструмент 13. Создание и развитие механизмов популяризации экспортной деятельности среди экономически активного населения и молодежи субъекта Российской Федерации</w:t>
      </w:r>
    </w:p>
    <w:p>
      <w:pPr>
        <w:pStyle w:val="14"/>
        <w:shd w:val="clear" w:color="auto" w:fill="auto"/>
        <w:spacing w:before="0" w:after="57"/>
        <w:rPr>
          <w:color w:val="auto"/>
          <w:highlight w:val="white"/>
        </w:rPr>
      </w:pPr>
      <w:r>
        <w:rPr>
          <w:color w:val="auto"/>
          <w:highlight w:val="white"/>
        </w:rPr>
        <w:t>Инструмент 14. Создание и развитие механизмов продвижения продукции региональных компаний за рубежом</w:t>
      </w:r>
    </w:p>
    <w:p>
      <w:pPr>
        <w:pStyle w:val="14"/>
        <w:shd w:val="clear" w:color="auto" w:fill="auto"/>
        <w:spacing w:before="0" w:after="102"/>
        <w:rPr>
          <w:color w:val="auto"/>
          <w:highlight w:val="white"/>
        </w:rPr>
      </w:pPr>
      <w:r>
        <w:rPr>
          <w:color w:val="auto"/>
          <w:highlight w:val="white"/>
        </w:rPr>
        <w:t>Инструмент 15. Обеспечение присутствия субъекта Российской Федерации на зарубежных рынках</w:t>
      </w:r>
    </w:p>
    <w:p>
      <w:pPr>
        <w:pStyle w:val="25"/>
        <w:numPr>
          <w:ilvl w:val="0"/>
          <w:numId w:val="1"/>
        </w:numPr>
        <w:shd w:val="clear" w:color="auto" w:fill="auto"/>
        <w:tabs>
          <w:tab w:val="clear" w:pos="709"/>
          <w:tab w:val="left" w:pos="436" w:leader="none"/>
        </w:tabs>
        <w:spacing w:before="0" w:after="102"/>
        <w:rPr>
          <w:color w:val="auto"/>
          <w:highlight w:val="white"/>
        </w:rPr>
      </w:pPr>
      <w:r>
        <w:rPr>
          <w:b/>
          <w:bCs/>
          <w:color w:val="auto"/>
          <w:highlight w:val="white"/>
        </w:rPr>
        <w:t>Ресурсное обеспечение развития экспортной деятельности субъекта Российской Федерации и стратегические ориентиры до 2030 года</w:t>
      </w:r>
    </w:p>
    <w:p>
      <w:pPr>
        <w:pStyle w:val="25"/>
        <w:shd w:val="clear" w:color="auto" w:fill="auto"/>
        <w:spacing w:before="0" w:after="102"/>
        <w:rPr>
          <w:color w:val="auto"/>
        </w:rPr>
      </w:pPr>
      <w:r>
        <w:rPr>
          <w:b/>
          <w:bCs/>
          <w:color w:val="auto"/>
          <w:highlight w:val="white"/>
        </w:rPr>
        <w:t>Заключение</w:t>
      </w:r>
    </w:p>
    <w:p>
      <w:pPr>
        <w:sectPr>
          <w:headerReference w:type="even" r:id="rId8"/>
          <w:headerReference w:type="default" r:id="rId9"/>
          <w:headerReference w:type="first" r:id="rId10"/>
          <w:type w:val="nextPage"/>
          <w:pgSz w:w="11906" w:h="16838"/>
          <w:pgMar w:left="1134" w:right="850" w:gutter="0" w:header="0" w:top="1134" w:footer="0" w:bottom="1134"/>
          <w:pgNumType w:fmt="decimal"/>
          <w:formProt w:val="false"/>
          <w:textDirection w:val="lrTb"/>
          <w:docGrid w:type="default" w:linePitch="360" w:charSpace="0"/>
        </w:sectPr>
        <w:pStyle w:val="25"/>
        <w:shd w:val="clear" w:color="auto" w:fill="auto"/>
        <w:spacing w:before="0" w:after="102"/>
        <w:rPr>
          <w:color w:val="auto"/>
          <w:highlight w:val="white"/>
        </w:rPr>
      </w:pPr>
      <w:r>
        <w:rPr>
          <w:b/>
          <w:bCs/>
          <w:color w:val="auto"/>
          <w:highlight w:val="white"/>
        </w:rPr>
        <w:t>Приложение</w:t>
      </w:r>
    </w:p>
    <w:p>
      <w:pPr>
        <w:pStyle w:val="25"/>
        <w:shd w:val="clear" w:color="auto" w:fill="auto"/>
        <w:spacing w:before="0" w:after="283"/>
        <w:jc w:val="center"/>
        <w:rPr>
          <w:color w:val="auto"/>
          <w:highlight w:val="white"/>
        </w:rPr>
      </w:pPr>
      <w:r>
        <w:rPr>
          <w:b/>
          <w:bCs/>
          <w:color w:val="auto"/>
          <w:highlight w:val="white"/>
        </w:rPr>
        <w:t>Введение</w:t>
      </w:r>
    </w:p>
    <w:p>
      <w:pPr>
        <w:pStyle w:val="14"/>
        <w:shd w:val="clear" w:color="auto" w:fill="auto"/>
        <w:spacing w:before="0" w:after="102"/>
        <w:rPr>
          <w:color w:val="auto"/>
          <w:highlight w:val="white"/>
        </w:rPr>
      </w:pPr>
      <w:r>
        <w:rPr>
          <w:color w:val="auto"/>
          <w:highlight w:val="white"/>
        </w:rPr>
        <w:t>1.</w:t>
        <w:tab/>
        <w:t>В соответствии с Указом Президента Российской Федерации от 7 мая 2024 г. № 309 «О национальных целях развития Российской Федерации на период до 2030 года и на перспективу до 2036 года» в рамках национальной цели «Устойчивая и динамичная экономика» необходимо обеспечить:</w:t>
      </w:r>
    </w:p>
    <w:p>
      <w:pPr>
        <w:pStyle w:val="14"/>
        <w:numPr>
          <w:ilvl w:val="0"/>
          <w:numId w:val="2"/>
        </w:numPr>
        <w:shd w:val="clear" w:color="auto" w:fill="auto"/>
        <w:spacing w:before="0" w:after="102"/>
        <w:rPr>
          <w:color w:val="auto"/>
          <w:highlight w:val="white"/>
        </w:rPr>
      </w:pPr>
      <w:r>
        <w:rPr>
          <w:color w:val="auto"/>
          <w:highlight w:val="white"/>
        </w:rPr>
        <w:t>к 2030 году прирост объема экспорта несырьевых неэнергетических товаров не менее чем на 67% по сравнению с показателем 2023 года;</w:t>
      </w:r>
    </w:p>
    <w:p>
      <w:pPr>
        <w:pStyle w:val="14"/>
        <w:numPr>
          <w:ilvl w:val="0"/>
          <w:numId w:val="2"/>
        </w:numPr>
        <w:shd w:val="clear" w:color="auto" w:fill="auto"/>
        <w:spacing w:before="0" w:after="102"/>
        <w:rPr>
          <w:color w:val="auto"/>
          <w:highlight w:val="white"/>
        </w:rPr>
      </w:pPr>
      <w:r>
        <w:rPr>
          <w:color w:val="auto"/>
          <w:highlight w:val="white"/>
        </w:rPr>
        <w:t>увеличение к 2030 году экспорта продукции агропромышленного комплекса не менее чем на 50% по сравнению с уровнем 2021 года;</w:t>
      </w:r>
    </w:p>
    <w:p>
      <w:pPr>
        <w:pStyle w:val="14"/>
        <w:numPr>
          <w:ilvl w:val="0"/>
          <w:numId w:val="2"/>
        </w:numPr>
        <w:shd w:val="clear" w:color="auto" w:fill="auto"/>
        <w:spacing w:before="0" w:after="102"/>
        <w:rPr>
          <w:color w:val="auto"/>
          <w:highlight w:val="white"/>
        </w:rPr>
      </w:pPr>
      <w:r>
        <w:rPr>
          <w:color w:val="auto"/>
          <w:highlight w:val="white"/>
        </w:rPr>
        <w:t>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pPr>
        <w:pStyle w:val="14"/>
        <w:shd w:val="clear" w:color="auto" w:fill="auto"/>
        <w:spacing w:before="0" w:after="102"/>
        <w:rPr>
          <w:color w:val="auto"/>
          <w:highlight w:val="white"/>
        </w:rPr>
      </w:pPr>
      <w:r>
        <w:rPr>
          <w:color w:val="auto"/>
          <w:highlight w:val="white"/>
        </w:rPr>
        <w:t>2.</w:t>
        <w:tab/>
        <w:t>Для достижения поставленных целевых показателей наряду с дальнейшим развитием инфраструктуры продвижения экспорта и системы поддержки отечественных производителей необходима последовательная работа по увеличению количества новых экспортеров российской конкурентоспособной продукции. Особый акцент важно сделать на более эффективном использовании экспортного потенциала субъектов Российской Федерации и активном привлечении к экспортной деятельности субъектов малого и среднего предпринимательства, так как именно этот сектор экономики обладает наибольшим потенциалом роста несырьевого неэнергетического экспорта, а также экспорта услуг.</w:t>
      </w:r>
    </w:p>
    <w:p>
      <w:pPr>
        <w:pStyle w:val="14"/>
        <w:shd w:val="clear" w:color="auto" w:fill="auto"/>
        <w:spacing w:before="0" w:after="102"/>
        <w:rPr>
          <w:color w:val="auto"/>
          <w:highlight w:val="white"/>
        </w:rPr>
      </w:pPr>
      <w:r>
        <w:rPr>
          <w:color w:val="auto"/>
          <w:highlight w:val="white"/>
        </w:rPr>
        <w:t>3.</w:t>
        <w:tab/>
        <w:t>При этом опросы предпринимателей демонстрируют существенные отличия в условиях ведения экспортной деятельности от региона к региону. Это обусловлено такими факторами, как наличие инфраструктуры поддержки экспорта и ее эффективность, географическое положение субъекта Российской Федерации, транспортная доступность, климатические условия.</w:t>
      </w:r>
    </w:p>
    <w:p>
      <w:pPr>
        <w:pStyle w:val="14"/>
        <w:shd w:val="clear" w:color="auto" w:fill="auto"/>
        <w:spacing w:before="0" w:after="102"/>
        <w:rPr>
          <w:color w:val="auto"/>
          <w:highlight w:val="white"/>
        </w:rPr>
      </w:pPr>
      <w:r>
        <w:rPr>
          <w:color w:val="auto"/>
          <w:highlight w:val="white"/>
        </w:rPr>
        <w:t>4.</w:t>
        <w:tab/>
        <w:t>Политика субъектов Российской Федерации в области экспортной деятельности в настоящее время динамично развивается и систематизируется, вместе с тем все еще сохраняется существенный потенциал роста регионального экспорта за счет внедрения в субъектах Российской Федерации лучших практик поддержки экспорта и дальнейшего совершенствования региональной экспортной политики.</w:t>
      </w:r>
    </w:p>
    <w:p>
      <w:pPr>
        <w:pStyle w:val="14"/>
        <w:shd w:val="clear" w:color="auto" w:fill="auto"/>
        <w:spacing w:before="0" w:after="102"/>
        <w:rPr>
          <w:color w:val="auto"/>
          <w:highlight w:val="white"/>
        </w:rPr>
      </w:pPr>
      <w:r>
        <w:rPr>
          <w:color w:val="auto"/>
          <w:highlight w:val="white"/>
        </w:rPr>
        <w:t>5.</w:t>
        <w:tab/>
        <w:t>АО «Российский экспортный центр» (далее – РЭЦ), используя лучшие практики, разработало Региональный экспортный стандарт (далее – Стандарт), направленный на совершенствование институциональной экспортной среды в субъектах Российской Федерации.</w:t>
      </w:r>
    </w:p>
    <w:p>
      <w:pPr>
        <w:pStyle w:val="14"/>
        <w:shd w:val="clear" w:color="auto" w:fill="auto"/>
        <w:spacing w:before="0" w:after="102"/>
        <w:rPr>
          <w:color w:val="auto"/>
          <w:highlight w:val="white"/>
        </w:rPr>
      </w:pPr>
      <w:r>
        <w:rPr>
          <w:color w:val="auto"/>
          <w:highlight w:val="white"/>
        </w:rPr>
        <w:t>Данный документ описывает комплекс мер сходной направленности, способствующих активизации экспортной деятельности в регионе (далее – Инструмент, Инструменты), успешная реализация которых позволит сформировать эффективную инфраструктуру поддержки экспорта и обеспечить вовлечение органов исполнительной власти субъекта Российской Федерации и представителей бизнес-сообщества в процесс реализации региональной политики в области поддержки и развития экспортной деятельности и, как результат, увеличить число экспортеров и объем экспортной продукции.</w:t>
      </w:r>
    </w:p>
    <w:p>
      <w:pPr>
        <w:pStyle w:val="14"/>
        <w:shd w:val="clear" w:color="auto" w:fill="auto"/>
        <w:rPr>
          <w:color w:val="auto"/>
          <w:highlight w:val="white"/>
        </w:rPr>
      </w:pPr>
      <w:r>
        <w:rPr>
          <w:color w:val="auto"/>
          <w:highlight w:val="white"/>
        </w:rPr>
        <w:t>6.</w:t>
        <w:tab/>
        <w:t>В целях комплексного внедрения Стандарта и обеспечения системной поддержки экспортеров субъектом Российской Федерации определяется орган исполнительной власти, в компетенции которого входят координация мер поддержки экспорта в субъекте Российской Федерации, развитие несырьевого экспорта (далее – РОИВ-координатор).</w:t>
      </w:r>
    </w:p>
    <w:p>
      <w:pPr>
        <w:pStyle w:val="14"/>
        <w:shd w:val="clear" w:color="auto" w:fill="auto"/>
        <w:rPr>
          <w:color w:val="auto"/>
          <w:highlight w:val="white"/>
        </w:rPr>
      </w:pPr>
      <w:r>
        <w:rPr>
          <w:color w:val="auto"/>
          <w:highlight w:val="white"/>
        </w:rPr>
        <w:t>Указанную функцию рекомендовано закрепить нормативным правовым актом (положением об органе исполнительной власти субъекта Российской Федерации, распоряжением высшего должностного лица субъекта Российской Федерации или другим документом, определяющим полномочия органа исполнительной государственной власти субъекта Российской Федерации).</w:t>
      </w:r>
    </w:p>
    <w:p>
      <w:pPr>
        <w:pStyle w:val="14"/>
        <w:shd w:val="clear" w:color="auto" w:fill="auto"/>
        <w:spacing w:before="0" w:after="102"/>
        <w:rPr>
          <w:color w:val="auto"/>
          <w:highlight w:val="white"/>
        </w:rPr>
      </w:pPr>
      <w:r>
        <w:rPr>
          <w:color w:val="auto"/>
          <w:highlight w:val="white"/>
        </w:rPr>
        <w:t>7.</w:t>
        <w:tab/>
        <w:t>Для повышения эффективности внедрения Стандарта предусматривается распределение субъектов Российской Федерации на нижеследующие группы по соответствующему значению группового коэффициента, характеризующего уровень экспортного развития и экспортного потенциала в субъекте Российской Федерации</w:t>
      </w:r>
      <w:r>
        <w:rPr>
          <w:rStyle w:val="FootnoteReference"/>
          <w:color w:val="auto"/>
          <w:highlight w:val="white"/>
        </w:rPr>
        <w:footnoteReference w:id="2"/>
      </w:r>
      <w:r>
        <w:rPr>
          <w:color w:val="auto"/>
          <w:highlight w:val="white"/>
        </w:rPr>
        <w:t>:</w:t>
      </w:r>
    </w:p>
    <w:p>
      <w:pPr>
        <w:pStyle w:val="14"/>
        <w:shd w:val="clear" w:color="auto" w:fill="auto"/>
        <w:spacing w:before="0" w:after="0"/>
        <w:rPr>
          <w:color w:val="auto"/>
          <w:highlight w:val="white"/>
        </w:rPr>
      </w:pPr>
      <w:r>
        <w:rPr>
          <w:color w:val="auto"/>
          <w:highlight w:val="white"/>
        </w:rPr>
        <w:t>1-я группа – субъекты Российской Федерации с формирующимся экспортным потенциалом;</w:t>
      </w:r>
    </w:p>
    <w:p>
      <w:pPr>
        <w:pStyle w:val="14"/>
        <w:shd w:val="clear" w:color="auto" w:fill="auto"/>
        <w:spacing w:before="0" w:after="0"/>
        <w:rPr>
          <w:color w:val="auto"/>
          <w:highlight w:val="white"/>
        </w:rPr>
      </w:pPr>
      <w:r>
        <w:rPr>
          <w:color w:val="auto"/>
          <w:highlight w:val="white"/>
        </w:rPr>
        <w:t>2-я группа – субъекты Российской Федерации с экспортным потенциалом;</w:t>
      </w:r>
    </w:p>
    <w:p>
      <w:pPr>
        <w:pStyle w:val="14"/>
        <w:shd w:val="clear" w:color="auto" w:fill="auto"/>
        <w:spacing w:before="0" w:after="0"/>
        <w:rPr>
          <w:color w:val="auto"/>
          <w:highlight w:val="white"/>
        </w:rPr>
      </w:pPr>
      <w:r>
        <w:rPr>
          <w:color w:val="auto"/>
          <w:highlight w:val="white"/>
        </w:rPr>
        <w:t>3-я группа – субъекты Российской Федерации с умеренным уровнем экспортного развития;</w:t>
      </w:r>
    </w:p>
    <w:p>
      <w:pPr>
        <w:pStyle w:val="14"/>
        <w:shd w:val="clear" w:color="auto" w:fill="auto"/>
        <w:spacing w:before="0" w:after="0"/>
        <w:rPr>
          <w:color w:val="auto"/>
          <w:highlight w:val="white"/>
        </w:rPr>
      </w:pPr>
      <w:r>
        <w:rPr>
          <w:color w:val="auto"/>
          <w:highlight w:val="white"/>
        </w:rPr>
        <w:t>4-я группа – субъекты Российской Федерации с достаточным уровнем экспортного развития;</w:t>
      </w:r>
    </w:p>
    <w:p>
      <w:pPr>
        <w:pStyle w:val="14"/>
        <w:shd w:val="clear" w:color="auto" w:fill="auto"/>
        <w:spacing w:before="0" w:after="102"/>
        <w:rPr>
          <w:color w:val="auto"/>
          <w:highlight w:val="white"/>
        </w:rPr>
      </w:pPr>
      <w:r>
        <w:rPr>
          <w:color w:val="auto"/>
          <w:highlight w:val="white"/>
        </w:rPr>
        <w:t>5-я группа – субъекты Российской Федерации с высоким уровнем экспортного развития.</w:t>
      </w:r>
    </w:p>
    <w:p>
      <w:pPr>
        <w:pStyle w:val="14"/>
        <w:shd w:val="clear" w:color="auto" w:fill="auto"/>
        <w:spacing w:before="0" w:after="102"/>
        <w:rPr>
          <w:color w:val="auto"/>
          <w:highlight w:val="white"/>
        </w:rPr>
      </w:pPr>
      <w:r>
        <w:rPr>
          <w:color w:val="auto"/>
          <w:highlight w:val="white"/>
        </w:rPr>
        <w:t>8.</w:t>
        <w:tab/>
        <w:t>В целях мониторинга процесса внедрения Стандарта в субъектах Российской Федерации РЭЦ разрабатывает и обеспечивает функционирование специализированной онлайн-системы мониторинга внедрения Стандарта (далее – Система), позволяющей субъектам Российской Федерации предоставлять, а РЭЦ проверять, принимать либо возвращать на доработку информацию о внедрении субъектом Российской Федерации Стандарта, формировать отчеты.</w:t>
      </w:r>
    </w:p>
    <w:p>
      <w:pPr>
        <w:pStyle w:val="14"/>
        <w:shd w:val="clear" w:color="auto" w:fill="auto"/>
        <w:spacing w:before="0" w:after="102"/>
        <w:rPr>
          <w:color w:val="auto"/>
          <w:highlight w:val="white"/>
        </w:rPr>
      </w:pPr>
      <w:r>
        <w:rPr>
          <w:color w:val="auto"/>
          <w:highlight w:val="white"/>
        </w:rPr>
        <w:t>9.</w:t>
        <w:tab/>
        <w:t>Для формирования комплексной и объективной оценки усилий органов власти всех уровней в регионах по улучшению состояния институциональной экспортной среды в субъекте Российской Федерации, включая результаты внедрения Стандарта, РЭЦ в соответствии с методикой формирования рейтинга эффективности внедрения Стандарта в субъектах Российской Федерации (далее – Рейтинг), определенной в приложении к Стандарту, формирует на регулярной основе указанный Рейтинг и доводит его до сведения регионов посредством Системы.</w:t>
      </w:r>
    </w:p>
    <w:p>
      <w:pPr>
        <w:pStyle w:val="14"/>
        <w:shd w:val="clear" w:color="auto" w:fill="auto"/>
        <w:spacing w:before="0" w:after="102"/>
        <w:rPr>
          <w:color w:val="auto"/>
          <w:highlight w:val="white"/>
        </w:rPr>
      </w:pPr>
      <w:r>
        <w:rPr>
          <w:color w:val="auto"/>
          <w:highlight w:val="white"/>
        </w:rPr>
        <w:t>10.</w:t>
        <w:tab/>
        <w:t>Стандарт предполагает возможность многоуровневого внедрения Инструментов в целях комплексной оценки эффективности деятельности регионов в сфере поддержки экспортной деятельности с учетом достигнутых результатов, не ограничивающихся минимальным нормативным уровнем их значений, а также стимулирования осуществления субъектами Российской Федерации более результативных действий, направленных на создание благоприятных условий для развития экспорта, путем повышения места в Рейтинге.</w:t>
      </w:r>
    </w:p>
    <w:p>
      <w:pPr>
        <w:pStyle w:val="14"/>
        <w:shd w:val="clear" w:color="auto" w:fill="auto"/>
        <w:spacing w:before="0" w:after="102"/>
        <w:rPr>
          <w:color w:val="auto"/>
          <w:highlight w:val="white"/>
        </w:rPr>
      </w:pPr>
      <w:r>
        <w:rPr>
          <w:color w:val="auto"/>
          <w:highlight w:val="white"/>
        </w:rPr>
        <w:t>Предусматривается до трех уровней внедрения Инструмента: базовый уровень и дополнительные (инициативные) уровни, оказывающие влияние на позицию субъекта Российской Федерации в Рейтинге:</w:t>
      </w:r>
    </w:p>
    <w:p>
      <w:pPr>
        <w:pStyle w:val="14"/>
        <w:shd w:val="clear" w:color="auto" w:fill="auto"/>
        <w:spacing w:before="0" w:after="102"/>
        <w:rPr>
          <w:color w:val="auto"/>
          <w:highlight w:val="white"/>
        </w:rPr>
      </w:pPr>
      <w:r>
        <w:rPr>
          <w:color w:val="auto"/>
          <w:highlight w:val="white"/>
        </w:rPr>
        <w:t>Уровень 1 – один или несколько показателей, достижение значения(ий) которого(ых) является обязательным условием внедрения Инструмента и принятия его к зачету при оценке результата достижения показателя за отчетный период.</w:t>
      </w:r>
    </w:p>
    <w:p>
      <w:pPr>
        <w:pStyle w:val="14"/>
        <w:shd w:val="clear" w:color="auto" w:fill="auto"/>
        <w:spacing w:before="0" w:after="102"/>
        <w:rPr>
          <w:color w:val="auto"/>
          <w:highlight w:val="white"/>
        </w:rPr>
      </w:pPr>
      <w:r>
        <w:rPr>
          <w:color w:val="auto"/>
          <w:highlight w:val="white"/>
        </w:rPr>
        <w:t>Уровень 2 – один или несколько дополнительных показателей, значение(я) которого(ых) достигаются субъектом Российской Федерации в инициативном порядке при условии выполнения показателей Уровня 1. Достижение субъектом Российской Федерации показателей данного уровня повышает его ранг в Рейтинге.</w:t>
      </w:r>
    </w:p>
    <w:p>
      <w:pPr>
        <w:pStyle w:val="14"/>
        <w:shd w:val="clear" w:color="auto" w:fill="auto"/>
        <w:spacing w:before="0" w:after="102"/>
        <w:rPr>
          <w:color w:val="auto"/>
          <w:highlight w:val="white"/>
        </w:rPr>
      </w:pPr>
      <w:r>
        <w:rPr>
          <w:color w:val="auto"/>
          <w:highlight w:val="white"/>
        </w:rPr>
        <w:t>Уровень 3 – один или несколько дополнительных показателей, значение(я) которого(ых) достигаются субъектом Российской Федерации в инициативном порядке при условии выполнения показателей Уровня 1 и Уровня 2. Достижение субъектом Российской Федерации показателей данного уровня повышает его ранг в Рейтинге.</w:t>
      </w:r>
    </w:p>
    <w:p>
      <w:pPr>
        <w:pStyle w:val="14"/>
        <w:shd w:val="clear" w:color="auto" w:fill="auto"/>
        <w:spacing w:before="0" w:after="102"/>
        <w:rPr>
          <w:color w:val="auto"/>
          <w:highlight w:val="white"/>
        </w:rPr>
      </w:pPr>
      <w:r>
        <w:rPr>
          <w:color w:val="auto"/>
          <w:highlight w:val="white"/>
        </w:rPr>
        <w:t>11.</w:t>
        <w:tab/>
        <w:t xml:space="preserve">РЭЦ на регулярной основе обобщает успешный региональный опыт поддержки экспорта и совершенствования региональной экспортной политики и формирует сборник лучших региональных практик развития и поддержки несырьевого неэнергетического экспорта, публикуемый в Системе </w:t>
      </w:r>
      <w:r>
        <w:rPr>
          <w:color w:val="auto"/>
        </w:rPr>
        <w:t>(далее – Сборник лучших практик)</w:t>
      </w:r>
      <w:r>
        <w:rPr>
          <w:color w:val="auto"/>
          <w:highlight w:val="white"/>
        </w:rPr>
        <w:t>.</w:t>
      </w:r>
    </w:p>
    <w:p>
      <w:pPr>
        <w:pStyle w:val="14"/>
        <w:shd w:val="clear" w:color="auto" w:fill="auto"/>
        <w:spacing w:before="0" w:after="102"/>
        <w:rPr>
          <w:color w:val="auto"/>
          <w:highlight w:val="white"/>
        </w:rPr>
      </w:pPr>
      <w:r>
        <w:rPr>
          <w:color w:val="auto"/>
          <w:highlight w:val="white"/>
        </w:rPr>
        <w:t>12.</w:t>
        <w:tab/>
        <w:t>Право толкования положений Стандарта, вызывающих неопределенность в понимании или противоречия при применении, а также право конкретизации и уточнения рекомендаций принадлежит РЭЦ.</w:t>
      </w:r>
    </w:p>
    <w:p>
      <w:pPr>
        <w:pStyle w:val="Normal"/>
        <w:spacing w:before="0" w:after="102"/>
        <w:rPr>
          <w:rFonts w:ascii="Times New Roman" w:hAnsi="Times New Roman" w:eastAsia="Times New Roman" w:cs="Times New Roman"/>
          <w:color w:val="auto"/>
        </w:rPr>
      </w:pPr>
      <w:r>
        <w:rPr>
          <w:rFonts w:eastAsia="Times New Roman" w:cs="Times New Roman" w:ascii="Times New Roman" w:hAnsi="Times New Roman"/>
          <w:color w:val="auto"/>
          <w:highlight w:val="white"/>
        </w:rPr>
        <w:t>13.</w:t>
        <w:tab/>
        <w:t>Термины, используемые в Стандарте, означают следующее:</w:t>
      </w:r>
    </w:p>
    <w:tbl>
      <w:tblPr>
        <w:tblW w:w="992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97"/>
        <w:gridCol w:w="7623"/>
      </w:tblGrid>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jc w:val="center"/>
              <w:rPr>
                <w:bCs/>
                <w:i/>
                <w:i/>
                <w:color w:val="auto"/>
                <w:highlight w:val="white"/>
              </w:rPr>
            </w:pPr>
            <w:r>
              <w:rPr>
                <w:i/>
                <w:iCs/>
                <w:color w:val="auto"/>
                <w:highlight w:val="white"/>
              </w:rPr>
              <w:t>Термин</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jc w:val="center"/>
              <w:rPr>
                <w:bCs/>
                <w:i/>
                <w:i/>
                <w:color w:val="auto"/>
                <w:highlight w:val="white"/>
              </w:rPr>
            </w:pPr>
            <w:r>
              <w:rPr>
                <w:i/>
                <w:iCs/>
                <w:color w:val="auto"/>
                <w:highlight w:val="white"/>
              </w:rPr>
              <w:t>Определение</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rPr>
              <w:t>Анкета</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отчетная форма по внедрению Инструмента, разработанная в Системе, заполняется Субъектом, проверяется и утверждается РЭЦ.</w:t>
            </w:r>
          </w:p>
          <w:p>
            <w:pPr>
              <w:pStyle w:val="14"/>
              <w:shd w:val="clear" w:color="auto" w:fill="auto"/>
              <w:spacing w:before="0" w:after="102"/>
              <w:rPr>
                <w:color w:val="auto"/>
                <w:highlight w:val="white"/>
              </w:rPr>
            </w:pPr>
            <w:r>
              <w:rPr>
                <w:color w:val="auto"/>
                <w:highlight w:val="white"/>
              </w:rPr>
              <w:t>Правила заполнения Анкет определены в руководстве пользователя Системой</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АППГ</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аналогичный период прошлого года</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ВЭД</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внешнеэкономическая деятельность</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Инструмент</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комплекс мер сходной направленности, способствующих активизации экспортной деятельности в регионе</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ИС «1С»</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информационная система «1С:Управление Холдингом», реализуемая РЭЦ для учета и анализа результатов деятельности и отчетности ЦПЭ, рассмотренных и утвержденных РОИВ-координатором</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ИС «Одно окно»</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информационная система «Одно окно» в сфере внешнеторговой деятельности – федеральная государственная автоматизированная информационная система, обеспечивающая взаимодействие в электронной форме участников внешнеторговой деятельности и иных лиц с органами государственной власти Российской Федерации, органами валютного контроля, уполномоченными Правительством Российской Федерации, и иными лицами в соответствии с их компетенцией в целях развития внешнеторговой деятельности и обеспечения возможности использования органами государственной власти Российской Федерации, органами валютного контроля, уполномоченными Правительством Российской Федерации, и иными лицами в соответствии с их компетенцией содержащихся в этой системе документов и информации в целях осуществления государственного контроля (надзора), предоставления государственных услуг, исполнения государственных функций, предоставления иных услуг в сфере внешнеторговой деятельности, формирования статистики в сфере внешнеторговой деятельности.</w:t>
            </w:r>
          </w:p>
          <w:p>
            <w:pPr>
              <w:pStyle w:val="14"/>
              <w:shd w:val="clear" w:color="auto" w:fill="auto"/>
              <w:spacing w:before="0" w:after="102"/>
              <w:rPr>
                <w:color w:val="auto"/>
                <w:highlight w:val="white"/>
              </w:rPr>
            </w:pPr>
            <w:r>
              <w:rPr>
                <w:color w:val="auto"/>
                <w:highlight w:val="white"/>
              </w:rPr>
              <w:t>Порядок функционирования информационной системы «Одно окно» в сфере внешнеторговой деятельности определен в соответствии с Федеральным законом от 08.12.2003 № 164-ФЗ «Об основах государственного регулирования внешнеторговой деятельности» и Правилами функционирования информационной системы «Одно окно» в сфере внешнеторговой деятельности, утвержденными постановлением Правительства Российской Федерации от 28.01.2022 № 65 «О порядке функционирования информационной системы «Одно окно» в сфере внешнеторговой деятельности»</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Лучшая практика</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действия органов власти всех уровней в регионах, которые позволяют добиться лучших результатов в формировании эффективной инфраструктуры поддержки экспорта и развитии экспортной деятельности в регионе (формирование сборника лучших региональных практик развития и поддержки несырьевого неэнергетического экспорта осуществляет РЭЦ)</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Методические рекомендации МЭР</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методические рекомендации Минэкономразвития России по разработке стратегии развития внешнеэкономической деятельности Субъекта, включая экспортные стратегии и региональные программы развития экспорта, направленные в Субъекты письмом Минэкономразвития России от 16.01.2025 № 812-ВИ/Д25и</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Методические рекомендации РЭЦ</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методические рекомендации РЭЦ по наполнению шаблонов региональной программы развития экспорта Субъекта, направленные в Субъекты письмом РЭЦ от 24.12.2024 № 7880/РЭЦ</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ННЭ</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несырьевой неэнергетический экспорт</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Организации</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юридические лица и индивидуальные предприниматели</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ППИ</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прямые иностранные инвестиции</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Рейтинг</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рейтинг эффективности внедрения Регионального экспортного стандарта в субъектах Российской Федерации, формируемый РЭЦ</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РОИВ-координатор</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орган исполнительной власти субъекта Российской Федерации, в компетенции которого входят координация мер поддержки экспорта в субъекте Российской Федерации и развитие несырьевого неэнергетического экспорта</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РЭЦ</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АО «Российский экспортный центр»</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rPr>
              <w:t>Сборник лучших практик</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сборник лучших региональных практик развития и поддержки несырьевого неэнергетического экспорта, публикуемый РЭЦ в онлайн-системе мониторинга внедрения Регионального экспортного стандарта</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Система</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Онлайн-система мониторинга внедрения Регионального экспортного стандарта, реализуемая РЭЦ</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rPr>
              <w:t>С</w:t>
            </w:r>
            <w:r>
              <w:rPr>
                <w:color w:val="auto"/>
                <w:highlight w:val="white"/>
              </w:rPr>
              <w:t>МСП</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субъект(ы) малого и среднего предпринимательства</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Стандарт</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Стандарт по обеспечению благоприятных условий для развития экспортной деятельности в субъектах Российской Федерации (Региональный экспортный стандарт)</w:t>
            </w:r>
          </w:p>
        </w:tc>
      </w:tr>
      <w:tr>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Субъект(ы)</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субъект(ы) Российской Федерации</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Уникальная Организация</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юридическое лицо или индивидуальный предприниматель, единственные в своем роде, получившие меры государственной поддержки экспорта и/или принявшие участие в мероприятии, и/или заключившие экспортный(ые) контракт(ы), которые учитываются в течение календарного года строго один раз по их ИНН.</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ЦПЭ</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центр поддержки экспорта – организация, которая относится к инфраструктуре поддержки субъектов малого и среднего предпринимательства, специализированная на развитии и поддержке регионального экспорта, с учетом рекомендаций, разработанных РЭЦ, требований, утвержденных уполномоченным федеральным органом исполнительной власти согласно Федеральному закону от 24.07.2007 № 209-ФЗ «О развитии малого и среднего предпринимательства в Российской Федерации», и (или) требований, утвержденных Субъектом</w:t>
            </w:r>
          </w:p>
        </w:tc>
      </w:tr>
      <w:tr>
        <w:trPr>
          <w:trHeight w:val="378" w:hRule="atLeast"/>
        </w:trPr>
        <w:tc>
          <w:tcPr>
            <w:tcW w:w="2297"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Экспортный проект (проект с экспортным потенциалом)</w:t>
            </w:r>
          </w:p>
        </w:tc>
        <w:tc>
          <w:tcPr>
            <w:tcW w:w="7623" w:type="dxa"/>
            <w:tcBorders>
              <w:top w:val="single" w:sz="4" w:space="0" w:color="000000"/>
              <w:left w:val="single" w:sz="4" w:space="0" w:color="000000"/>
              <w:bottom w:val="single" w:sz="4" w:space="0" w:color="000000"/>
              <w:right w:val="single" w:sz="4" w:space="0" w:color="000000"/>
            </w:tcBorders>
          </w:tcPr>
          <w:p>
            <w:pPr>
              <w:pStyle w:val="14"/>
              <w:shd w:val="clear" w:color="auto" w:fill="auto"/>
              <w:spacing w:before="0" w:after="102"/>
              <w:rPr>
                <w:color w:val="auto"/>
                <w:highlight w:val="white"/>
              </w:rPr>
            </w:pPr>
            <w:r>
              <w:rPr>
                <w:color w:val="auto"/>
                <w:highlight w:val="white"/>
              </w:rPr>
              <w:t>документированная и целенаправленная последовательность мероприятий, реализация которой позволяет Организации выйти на внешний (зарубежный) рынок и осуществлять экспортные поставки продукции, работ или услуг с минимизацией рисков и обеспечением соблюдения всех установленных требований, в том числе таможенных, технических, санитарных, ветеринарных и фитосанитарных норм, а также процедур, предусмотренных законодательством Российской Федерации и странами назначения</w:t>
            </w:r>
          </w:p>
        </w:tc>
      </w:tr>
    </w:tbl>
    <w:p>
      <w:pPr>
        <w:sectPr>
          <w:headerReference w:type="even" r:id="rId11"/>
          <w:headerReference w:type="default" r:id="rId12"/>
          <w:headerReference w:type="first" r:id="rId13"/>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102"/>
        <w:rPr>
          <w:color w:val="auto"/>
          <w:highlight w:val="white"/>
        </w:rPr>
      </w:pPr>
      <w:r>
        <w:rPr>
          <w:color w:val="auto"/>
          <w:highlight w:val="white"/>
        </w:rPr>
        <w:t xml:space="preserve">  </w:t>
      </w:r>
    </w:p>
    <w:p>
      <w:pPr>
        <w:pStyle w:val="25"/>
        <w:shd w:val="clear" w:color="auto" w:fill="auto"/>
        <w:spacing w:before="0" w:after="283"/>
        <w:ind w:left="567" w:right="625"/>
        <w:jc w:val="center"/>
        <w:rPr>
          <w:b/>
          <w:bCs/>
          <w:color w:val="auto"/>
          <w:highlight w:val="white"/>
        </w:rPr>
      </w:pPr>
      <w:r>
        <w:rPr>
          <w:b/>
          <w:bCs/>
          <w:color w:val="auto"/>
          <w:highlight w:val="white"/>
        </w:rPr>
        <w:t>I. Создание платформы для развития экспорта в субъекте Российской Федерации</w:t>
      </w:r>
    </w:p>
    <w:p>
      <w:pPr>
        <w:pStyle w:val="27"/>
        <w:keepNext w:val="true"/>
        <w:keepLines/>
        <w:shd w:val="clear" w:color="auto" w:fill="auto"/>
        <w:tabs>
          <w:tab w:val="clear" w:pos="709"/>
          <w:tab w:val="left" w:pos="298" w:leader="none"/>
        </w:tabs>
        <w:rPr>
          <w:color w:val="auto"/>
          <w:highlight w:val="white"/>
        </w:rPr>
      </w:pPr>
      <w:bookmarkStart w:id="3" w:name="bookmark3"/>
      <w:r>
        <w:rPr>
          <w:color w:val="auto"/>
          <w:highlight w:val="white"/>
        </w:rPr>
        <w:t>Инструмент 1. Закрепление развития экспорта в документах стратегического планирования субъекта Российской Федерации</w:t>
      </w:r>
      <w:bookmarkEnd w:id="3"/>
    </w:p>
    <w:p>
      <w:pPr>
        <w:pStyle w:val="14"/>
        <w:shd w:val="clear" w:color="auto" w:fill="auto"/>
        <w:spacing w:before="0" w:after="102"/>
        <w:rPr>
          <w:color w:val="auto"/>
          <w:highlight w:val="white"/>
        </w:rPr>
      </w:pPr>
      <w:r>
        <w:rPr>
          <w:color w:val="auto"/>
          <w:highlight w:val="white"/>
        </w:rPr>
        <w:t>1.</w:t>
        <w:tab/>
        <w:t>Стратегическое планирование развития внешнеэкономической деятельности в Субъекте должно осуществляться в соответствии с Федеральным законом Российской Федерации от 20.06.2014 № 172-ФЗ «О стратегическом планировании в Российской Федерации» и учитывать ключевые императивы Стратегии развития внешнеэкономической деятельности Российской Федерации на период до 2030 года.</w:t>
      </w:r>
    </w:p>
    <w:p>
      <w:pPr>
        <w:pStyle w:val="14"/>
        <w:shd w:val="clear" w:color="auto" w:fill="auto"/>
        <w:rPr>
          <w:color w:val="auto"/>
        </w:rPr>
      </w:pPr>
      <w:r>
        <w:rPr>
          <w:color w:val="auto"/>
          <w:highlight w:val="white"/>
        </w:rPr>
        <w:t>2.</w:t>
        <w:tab/>
        <w:t xml:space="preserve">В целях обеспечения целеполагания, прогнозирования, планирования и программирования развития экспортной деятельности в Субъекте рекомендовано разработать стратегию </w:t>
      </w:r>
      <w:bookmarkStart w:id="4" w:name="_Hlk185079978"/>
      <w:r>
        <w:rPr>
          <w:color w:val="auto"/>
          <w:highlight w:val="white"/>
        </w:rPr>
        <w:t xml:space="preserve">развития внешнеэкономической деятельности </w:t>
      </w:r>
      <w:bookmarkEnd w:id="4"/>
      <w:r>
        <w:rPr>
          <w:color w:val="auto"/>
          <w:highlight w:val="white"/>
        </w:rPr>
        <w:t>Субъекта на период до 2030 года (далее – Стратегия ВЭД), в которой будут определены приоритеты, цели и задачи по развитию экспортной деятельности в Субъекте на долгосрочный период. При разработке Стратегии ВЭД необходимо руководствоваться Методическими рекомендациями МЭР. Положения Стратегии ВЭД, предусмотренные в ней цели, задачи, показатели и ожидаемые результаты должны соотноситься со стратегией социально-экономического развития Субъекта.</w:t>
      </w:r>
    </w:p>
    <w:p>
      <w:pPr>
        <w:pStyle w:val="14"/>
        <w:shd w:val="clear" w:color="auto" w:fill="auto"/>
        <w:rPr>
          <w:color w:val="auto"/>
          <w:highlight w:val="white"/>
        </w:rPr>
      </w:pPr>
      <w:r>
        <w:rPr>
          <w:color w:val="auto"/>
          <w:highlight w:val="white"/>
        </w:rPr>
        <w:t>3.</w:t>
        <w:tab/>
      </w:r>
      <w:r>
        <w:rPr>
          <w:color w:val="auto"/>
        </w:rPr>
        <w:t xml:space="preserve">Стратегия ВЭД может быть разработана в рамках стратегии социально-экономического развития Субъекта в качестве раздела об обеспечении благоприятных условий для ведения внешнеэкономической деятельности в Субъекте, а также в виде отдельного документа планирования Субъекта, утвержденного нормативным правовым актом Субъекта или высшим должностным лицом Субъекта. </w:t>
      </w:r>
    </w:p>
    <w:p>
      <w:pPr>
        <w:pStyle w:val="14"/>
        <w:shd w:val="clear" w:color="auto" w:fill="auto"/>
        <w:rPr>
          <w:color w:val="auto"/>
          <w:highlight w:val="white"/>
        </w:rPr>
      </w:pPr>
      <w:r>
        <w:rPr>
          <w:color w:val="auto"/>
        </w:rPr>
        <w:t>4</w:t>
      </w:r>
      <w:r>
        <w:rPr>
          <w:color w:val="auto"/>
          <w:highlight w:val="white"/>
        </w:rPr>
        <w:t>.</w:t>
        <w:tab/>
        <w:t xml:space="preserve">При стратегическом планировании экспортной деятельности Субъекта рекомендовано учитывать положения Указа Президента Российской Федерации от 07.05.2024 № 309 </w:t>
      </w:r>
      <w:r>
        <w:rPr>
          <w:color w:val="auto"/>
          <w:highlight w:val="white"/>
        </w:rPr>
        <w:br w:type="textWrapping" w:clear="all"/>
      </w:r>
      <w:r>
        <w:rPr>
          <w:color w:val="auto"/>
          <w:highlight w:val="white"/>
        </w:rPr>
        <w:t xml:space="preserve">«О национальных целях развития Российской Федерации на период до 2030 года и на перспективу до 2036 года»; национальной цели «Устойчивая и динамичная экономика»; Стратегии развития внешнеэкономической деятельности Российской Федерации на период </w:t>
      </w:r>
      <w:r>
        <w:rPr>
          <w:color w:val="auto"/>
          <w:highlight w:val="white"/>
        </w:rPr>
        <w:br w:type="textWrapping" w:clear="all"/>
      </w:r>
      <w:r>
        <w:rPr>
          <w:color w:val="auto"/>
          <w:highlight w:val="white"/>
        </w:rPr>
        <w:t>до 2030 года;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15.04.2014 № 316; государственной программы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15.04.2014 № 328; цели, задачи и мероприятия, обозначенные в национальном проекте «Международная кооперация и экспорт» и федеральном проекте «Системные меры развития международной кооперации и экспорта» и в других национальных и федеральных проектах в части экспортной деятельности, а также стратегические ориентиры, рекомендованные настоящим Стандартом.</w:t>
      </w:r>
    </w:p>
    <w:p>
      <w:pPr>
        <w:pStyle w:val="14"/>
        <w:shd w:val="clear" w:color="auto" w:fill="auto"/>
        <w:rPr>
          <w:color w:val="auto"/>
          <w:highlight w:val="white"/>
        </w:rPr>
      </w:pPr>
      <w:r>
        <w:rPr>
          <w:color w:val="auto"/>
          <w:highlight w:val="white"/>
        </w:rPr>
        <w:t>5.</w:t>
        <w:tab/>
        <w:t>Стратегия ВЭД должна отражать текущее состояние экспорта Субъекта, анализ потенциально перспективных зарубежных экспортных рынков, анализ основных внутренних и внешних барьеров, с которыми сталкиваются экспортеры.</w:t>
      </w:r>
    </w:p>
    <w:p>
      <w:pPr>
        <w:pStyle w:val="14"/>
        <w:shd w:val="clear" w:color="auto" w:fill="auto"/>
        <w:rPr>
          <w:color w:val="auto"/>
          <w:highlight w:val="white"/>
        </w:rPr>
      </w:pPr>
      <w:r>
        <w:rPr>
          <w:color w:val="auto"/>
        </w:rPr>
        <w:t>6</w:t>
      </w:r>
      <w:r>
        <w:rPr>
          <w:color w:val="auto"/>
          <w:highlight w:val="white"/>
        </w:rPr>
        <w:t>.</w:t>
        <w:tab/>
        <w:t xml:space="preserve">В Стратегии ВЭД необходимо предусмотреть создание экспортной инфраструктуры </w:t>
        <w:br/>
        <w:t>(в том числе ЦПЭ) для обеспечения развития экспорта в Субъекте и регулярную оценку её эффективности, меры государственной поддержки региональных предприятий экспортеров и экспортно ориентированных</w:t>
      </w:r>
      <w:r>
        <w:rPr>
          <w:rStyle w:val="FootnoteReference"/>
          <w:color w:val="auto"/>
          <w:highlight w:val="white"/>
        </w:rPr>
        <w:footnoteReference w:id="3"/>
      </w:r>
      <w:r>
        <w:rPr>
          <w:color w:val="auto"/>
          <w:highlight w:val="white"/>
        </w:rPr>
        <w:t xml:space="preserve"> Организаций. Рекомендуется также предусмотреть координацию планов регионального бизнеса по развитию экспорта с учетом особенностей основных направлений экспорта; кооперацию Субъектов в сфере поддержки экспортной деятельности; информирование представителей регионального бизнеса о возможностях продвижения представителей регионального бизнеса в продвижении продукции за рубежом под национальным брендом «Сделано в России»; планирование и развитие региональной транспортно-логистической инфраструктуры с учетом мероприятий по созданию и развитию инфраструктуры международных транспортно-логистических коридоров; сотрудничество Субъекта с правительственными и административно-территориальными образованиями иностранных государств в целях продвижения экспорта российских товаров и формирования проектов производственной кооперации (с учетом приоритетных направлений внешнеэкономических связей); перечень приоритетных стран, в которых целесообразно обеспечить присутствие региона, приоритетные отрасли развития экспорта и определить ресурсное обеспечение реализации Стратегии ВЭД.</w:t>
      </w:r>
    </w:p>
    <w:p>
      <w:pPr>
        <w:pStyle w:val="14"/>
        <w:shd w:val="clear" w:color="auto" w:fill="auto"/>
        <w:spacing w:before="0" w:after="102"/>
        <w:rPr>
          <w:color w:val="auto"/>
        </w:rPr>
      </w:pPr>
      <w:r>
        <w:rPr>
          <w:color w:val="auto"/>
        </w:rPr>
        <w:t>7</w:t>
      </w:r>
      <w:r>
        <w:rPr>
          <w:color w:val="auto"/>
          <w:highlight w:val="white"/>
        </w:rPr>
        <w:t>.</w:t>
        <w:tab/>
        <w:t>В Стратегии ВЭД целесообразно отразить целевые показатели экспортной деятельности Субъекта в соответствии с Методическими рекомендациями МЭР, с декомпозицией по годам до 2030 года, включая:</w:t>
      </w:r>
    </w:p>
    <w:p>
      <w:pPr>
        <w:pStyle w:val="14"/>
        <w:shd w:val="clear" w:color="auto" w:fill="auto"/>
        <w:spacing w:before="0" w:after="0"/>
        <w:rPr>
          <w:color w:val="auto"/>
        </w:rPr>
      </w:pPr>
      <w:r>
        <w:rPr>
          <w:color w:val="auto"/>
          <w:highlight w:val="white"/>
        </w:rPr>
        <w:t>7.1.</w:t>
        <w:tab/>
        <w:t>Внешнеторговый оборот региона (млрд долл. США).</w:t>
      </w:r>
    </w:p>
    <w:p>
      <w:pPr>
        <w:pStyle w:val="14"/>
        <w:shd w:val="clear" w:color="auto" w:fill="auto"/>
        <w:spacing w:before="0" w:after="0"/>
        <w:rPr>
          <w:color w:val="auto"/>
        </w:rPr>
      </w:pPr>
      <w:r>
        <w:rPr>
          <w:color w:val="auto"/>
          <w:highlight w:val="white"/>
        </w:rPr>
        <w:t>7.2.</w:t>
        <w:tab/>
        <w:t>Темп роста внешнеторгового оборота к АППГ (%).</w:t>
      </w:r>
    </w:p>
    <w:p>
      <w:pPr>
        <w:pStyle w:val="14"/>
        <w:shd w:val="clear" w:color="auto" w:fill="auto"/>
        <w:spacing w:before="0" w:after="0"/>
        <w:rPr>
          <w:color w:val="auto"/>
        </w:rPr>
      </w:pPr>
      <w:r>
        <w:rPr>
          <w:color w:val="auto"/>
          <w:highlight w:val="white"/>
        </w:rPr>
        <w:t>7.3.</w:t>
        <w:tab/>
        <w:t>Объем экспорта товаров региона (млрд долл. США).</w:t>
      </w:r>
    </w:p>
    <w:p>
      <w:pPr>
        <w:pStyle w:val="14"/>
        <w:shd w:val="clear" w:color="auto" w:fill="auto"/>
        <w:spacing w:before="0" w:after="0"/>
        <w:rPr>
          <w:color w:val="auto"/>
        </w:rPr>
      </w:pPr>
      <w:r>
        <w:rPr>
          <w:color w:val="auto"/>
          <w:highlight w:val="white"/>
        </w:rPr>
        <w:t>7.4.</w:t>
        <w:tab/>
        <w:t>Темп роста экспорта региона к АППГ (%).</w:t>
      </w:r>
    </w:p>
    <w:p>
      <w:pPr>
        <w:pStyle w:val="14"/>
        <w:shd w:val="clear" w:color="auto" w:fill="auto"/>
        <w:spacing w:before="0" w:after="0"/>
        <w:rPr>
          <w:color w:val="auto"/>
        </w:rPr>
      </w:pPr>
      <w:r>
        <w:rPr>
          <w:color w:val="auto"/>
          <w:highlight w:val="white"/>
        </w:rPr>
        <w:t>7.5.</w:t>
        <w:tab/>
        <w:t>Объем экспорта несырьевых неэнергетических товаров региона (в номинальных ценах, млрд долл. США).</w:t>
      </w:r>
    </w:p>
    <w:p>
      <w:pPr>
        <w:pStyle w:val="14"/>
        <w:shd w:val="clear" w:color="auto" w:fill="auto"/>
        <w:spacing w:before="0" w:after="0"/>
        <w:rPr>
          <w:color w:val="auto"/>
          <w:highlight w:val="white"/>
        </w:rPr>
      </w:pPr>
      <w:r>
        <w:rPr>
          <w:color w:val="auto"/>
          <w:highlight w:val="white"/>
        </w:rPr>
        <w:t>7.5.1.</w:t>
        <w:tab/>
        <w:t>Темп роста несырьевого неэнергетического экспорта региона к показателю 2023 года (%).</w:t>
      </w:r>
    </w:p>
    <w:p>
      <w:pPr>
        <w:pStyle w:val="14"/>
        <w:shd w:val="clear" w:color="auto" w:fill="auto"/>
        <w:spacing w:before="0" w:after="0"/>
        <w:rPr>
          <w:color w:val="auto"/>
        </w:rPr>
      </w:pPr>
      <w:r>
        <w:rPr>
          <w:color w:val="auto"/>
          <w:highlight w:val="white"/>
        </w:rPr>
        <w:t>7.5.2.</w:t>
        <w:tab/>
        <w:t>Темп роста несырьевого неэнергетического экспорта региона к АППГ (%).</w:t>
      </w:r>
    </w:p>
    <w:p>
      <w:pPr>
        <w:pStyle w:val="14"/>
        <w:shd w:val="clear" w:color="auto" w:fill="auto"/>
        <w:spacing w:before="0" w:after="0"/>
        <w:rPr>
          <w:color w:val="auto"/>
        </w:rPr>
      </w:pPr>
      <w:r>
        <w:rPr>
          <w:color w:val="auto"/>
          <w:highlight w:val="white"/>
        </w:rPr>
        <w:t>7.6.</w:t>
        <w:tab/>
        <w:t>Объем экспорта товаров отраслей промышленности (в номинальных ценах, млрд долл. США).</w:t>
      </w:r>
    </w:p>
    <w:p>
      <w:pPr>
        <w:pStyle w:val="14"/>
        <w:shd w:val="clear" w:color="auto" w:fill="auto"/>
        <w:spacing w:before="0" w:after="0"/>
        <w:rPr>
          <w:color w:val="auto"/>
        </w:rPr>
      </w:pPr>
      <w:r>
        <w:rPr>
          <w:color w:val="auto"/>
          <w:highlight w:val="white"/>
        </w:rPr>
        <w:t>7.7.</w:t>
        <w:tab/>
        <w:t>Объем экспорта продукции агропромышленного комплекса региона (млрд долл. США).</w:t>
      </w:r>
    </w:p>
    <w:p>
      <w:pPr>
        <w:pStyle w:val="14"/>
        <w:shd w:val="clear" w:color="auto" w:fill="auto"/>
        <w:spacing w:before="0" w:after="0"/>
        <w:rPr>
          <w:color w:val="auto"/>
        </w:rPr>
      </w:pPr>
      <w:r>
        <w:rPr>
          <w:color w:val="auto"/>
          <w:highlight w:val="white"/>
        </w:rPr>
        <w:t>7.7.1.</w:t>
        <w:tab/>
        <w:t>Темп роста экспорта продукции агропромышленного комплекса региона к показателю 2021 года (%).</w:t>
      </w:r>
    </w:p>
    <w:p>
      <w:pPr>
        <w:pStyle w:val="14"/>
        <w:shd w:val="clear" w:color="auto" w:fill="auto"/>
        <w:spacing w:before="0" w:after="0"/>
        <w:rPr>
          <w:color w:val="auto"/>
        </w:rPr>
      </w:pPr>
      <w:r>
        <w:rPr>
          <w:color w:val="auto"/>
          <w:highlight w:val="white"/>
        </w:rPr>
        <w:t>7.7.2.</w:t>
        <w:tab/>
        <w:t>Темп роста экспорта продукции агропромышленного комплекса региона к АППГ (%).</w:t>
      </w:r>
    </w:p>
    <w:p>
      <w:pPr>
        <w:pStyle w:val="14"/>
        <w:shd w:val="clear" w:color="auto" w:fill="auto"/>
        <w:spacing w:before="0" w:after="0"/>
        <w:rPr>
          <w:color w:val="auto"/>
        </w:rPr>
      </w:pPr>
      <w:r>
        <w:rPr>
          <w:color w:val="auto"/>
          <w:highlight w:val="white"/>
        </w:rPr>
        <w:t>7.8.</w:t>
        <w:tab/>
        <w:t>Объем накопленных ПИИ в регионе (млрд долл. США).</w:t>
      </w:r>
    </w:p>
    <w:p>
      <w:pPr>
        <w:pStyle w:val="14"/>
        <w:shd w:val="clear" w:color="auto" w:fill="auto"/>
        <w:spacing w:before="0" w:after="0"/>
        <w:rPr>
          <w:color w:val="auto"/>
        </w:rPr>
      </w:pPr>
      <w:r>
        <w:rPr>
          <w:color w:val="auto"/>
          <w:highlight w:val="white"/>
        </w:rPr>
        <w:t>7.9.</w:t>
        <w:tab/>
        <w:t>Темп роста накопленных ПИИ в регионе к АППГ (%).</w:t>
      </w:r>
    </w:p>
    <w:p>
      <w:pPr>
        <w:pStyle w:val="14"/>
        <w:shd w:val="clear" w:color="auto" w:fill="auto"/>
        <w:spacing w:before="0" w:after="0"/>
        <w:rPr>
          <w:color w:val="auto"/>
        </w:rPr>
      </w:pPr>
      <w:r>
        <w:rPr>
          <w:color w:val="auto"/>
          <w:highlight w:val="white"/>
        </w:rPr>
        <w:t>7.10.</w:t>
        <w:tab/>
        <w:t>Объем накопленных ПИИ региона в странах-партнерах (млрд долл. США).</w:t>
      </w:r>
    </w:p>
    <w:p>
      <w:pPr>
        <w:pStyle w:val="14"/>
        <w:shd w:val="clear" w:color="auto" w:fill="auto"/>
        <w:spacing w:before="0" w:after="0"/>
        <w:rPr>
          <w:color w:val="auto"/>
        </w:rPr>
      </w:pPr>
      <w:r>
        <w:rPr>
          <w:color w:val="auto"/>
          <w:highlight w:val="white"/>
        </w:rPr>
        <w:t>7.11.</w:t>
        <w:tab/>
        <w:t>Темп роста накопленных ПИИ региона в странах-партнерах к АППГ (%).</w:t>
      </w:r>
    </w:p>
    <w:p>
      <w:pPr>
        <w:pStyle w:val="14"/>
        <w:shd w:val="clear" w:color="auto" w:fill="auto"/>
        <w:spacing w:before="0" w:after="0"/>
        <w:rPr>
          <w:color w:val="auto"/>
        </w:rPr>
      </w:pPr>
      <w:r>
        <w:rPr>
          <w:color w:val="auto"/>
          <w:highlight w:val="white"/>
        </w:rPr>
        <w:t>7.12.</w:t>
        <w:tab/>
        <w:t>Число проектов с иностранным участием в регионе (с разбивкой по наименованию проекта в виде описательной части, стране-партнеру, отрасли, сумме инвестиций в млн рублей в числовом значении) (ед.).</w:t>
      </w:r>
    </w:p>
    <w:p>
      <w:pPr>
        <w:pStyle w:val="14"/>
        <w:shd w:val="clear" w:color="auto" w:fill="auto"/>
        <w:spacing w:before="0" w:after="0"/>
        <w:rPr>
          <w:color w:val="auto"/>
        </w:rPr>
      </w:pPr>
      <w:r>
        <w:rPr>
          <w:color w:val="auto"/>
          <w:highlight w:val="white"/>
        </w:rPr>
        <w:t>7.13.</w:t>
        <w:tab/>
        <w:t>Количество межрегиональных кооперационных мероприятий по развитию сотрудничества со странами-партнерами (с разбивкой по стране-партнеру, виду мероприятия в описательной части) (ед.).</w:t>
      </w:r>
    </w:p>
    <w:p>
      <w:pPr>
        <w:pStyle w:val="14"/>
        <w:shd w:val="clear" w:color="auto" w:fill="auto"/>
        <w:spacing w:before="0" w:after="102"/>
        <w:rPr>
          <w:color w:val="auto"/>
          <w:highlight w:val="white"/>
        </w:rPr>
      </w:pPr>
      <w:r>
        <w:rPr>
          <w:color w:val="auto"/>
          <w:highlight w:val="white"/>
        </w:rPr>
        <w:t>7.14.</w:t>
        <w:tab/>
        <w:t>Количество региональных партнерств (между субъектами Российской Федерации), целью которых является осуществление и развитие российского экспорта (в разбивке по субъектам Российской Федерации, стране-партнеру, наименование проекта в виде описательной части), фактические показатели за год (ед.).</w:t>
      </w:r>
    </w:p>
    <w:p>
      <w:pPr>
        <w:pStyle w:val="14"/>
        <w:shd w:val="clear" w:color="auto" w:fill="auto"/>
        <w:rPr>
          <w:color w:val="auto"/>
        </w:rPr>
      </w:pPr>
      <w:r>
        <w:rPr>
          <w:color w:val="auto"/>
        </w:rPr>
        <w:t>8.</w:t>
        <w:tab/>
        <w:t>В случае использования для подготовки Стратегии ВЭД информации, не подлежащей распространению, рекомендуется присвоить разделу Стратегии ВЭД с соответствующей информацией гриф ограничения доступа.</w:t>
      </w:r>
    </w:p>
    <w:p>
      <w:pPr>
        <w:pStyle w:val="14"/>
        <w:shd w:val="clear" w:color="auto" w:fill="auto"/>
        <w:rPr>
          <w:color w:val="auto"/>
          <w:highlight w:val="white"/>
        </w:rPr>
      </w:pPr>
      <w:r>
        <w:rPr>
          <w:color w:val="auto"/>
          <w:highlight w:val="white"/>
        </w:rPr>
        <w:t>9.</w:t>
        <w:tab/>
        <w:t>Субъекту рекомендуется ежегодно до 1 апреля отчётного года формировать, утверждать и направлять в Систему отчёт об исполнении Стратегии ВЭД за год, предшествующий отчетному году.</w:t>
      </w:r>
    </w:p>
    <w:p>
      <w:pPr>
        <w:pStyle w:val="14"/>
        <w:shd w:val="clear" w:color="auto" w:fill="auto"/>
        <w:rPr>
          <w:color w:val="auto"/>
          <w:highlight w:val="white"/>
        </w:rPr>
      </w:pPr>
      <w:r>
        <w:rPr>
          <w:color w:val="auto"/>
          <w:highlight w:val="white"/>
        </w:rPr>
        <w:t>Форма утверждения отчёта определяется Субъектом самостоятельно из вариантов:</w:t>
      </w:r>
    </w:p>
    <w:p>
      <w:pPr>
        <w:pStyle w:val="14"/>
        <w:numPr>
          <w:ilvl w:val="0"/>
          <w:numId w:val="122"/>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w:t>
      </w:r>
    </w:p>
    <w:p>
      <w:pPr>
        <w:pStyle w:val="14"/>
        <w:numPr>
          <w:ilvl w:val="0"/>
          <w:numId w:val="122"/>
        </w:numPr>
        <w:shd w:val="clear" w:color="auto" w:fill="auto"/>
        <w:spacing w:before="0" w:after="0"/>
        <w:ind w:hanging="425" w:left="425"/>
        <w:rPr>
          <w:color w:val="auto"/>
          <w:highlight w:val="white"/>
        </w:rPr>
      </w:pPr>
      <w:r>
        <w:rPr>
          <w:color w:val="auto"/>
          <w:highlight w:val="white"/>
        </w:rPr>
        <w:t>нормативно-правовой акт РОИВ-координатора;</w:t>
      </w:r>
    </w:p>
    <w:p>
      <w:pPr>
        <w:pStyle w:val="14"/>
        <w:numPr>
          <w:ilvl w:val="0"/>
          <w:numId w:val="122"/>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rPr>
          <w:color w:val="auto"/>
        </w:rPr>
      </w:pPr>
      <w:r>
        <w:rPr>
          <w:color w:val="auto"/>
          <w:highlight w:val="white"/>
        </w:rPr>
        <w:t>10.</w:t>
        <w:tab/>
        <w:t xml:space="preserve">Указанный Инструмент Стандарта считается внедренным, если </w:t>
      </w:r>
      <w:r>
        <w:rPr>
          <w:b/>
          <w:bCs/>
          <w:color w:val="auto"/>
          <w:highlight w:val="white"/>
        </w:rPr>
        <w:t>ежегодно</w:t>
      </w:r>
      <w:r>
        <w:rPr>
          <w:color w:val="auto"/>
          <w:highlight w:val="white"/>
        </w:rPr>
        <w:t>:</w:t>
      </w:r>
    </w:p>
    <w:p>
      <w:pPr>
        <w:pStyle w:val="14"/>
        <w:shd w:val="clear" w:color="auto" w:fill="auto"/>
        <w:tabs>
          <w:tab w:val="clear" w:pos="709"/>
          <w:tab w:val="left" w:pos="425" w:leader="none"/>
        </w:tabs>
        <w:rPr>
          <w:color w:val="auto"/>
          <w:highlight w:val="white"/>
        </w:rPr>
      </w:pPr>
      <w:r>
        <w:rPr>
          <w:color w:val="auto"/>
          <w:highlight w:val="white"/>
        </w:rPr>
        <w:t>10.1.</w:t>
        <w:tab/>
        <w:t>Уровень 1:</w:t>
      </w:r>
    </w:p>
    <w:p>
      <w:pPr>
        <w:pStyle w:val="14"/>
        <w:shd w:val="clear" w:color="auto" w:fill="auto"/>
        <w:rPr>
          <w:color w:val="auto"/>
          <w:highlight w:val="white"/>
        </w:rPr>
      </w:pPr>
      <w:r>
        <w:rPr>
          <w:color w:val="auto"/>
          <w:highlight w:val="white"/>
        </w:rPr>
        <w:t>10.1.1.</w:t>
        <w:tab/>
        <w:t>В первый год внедрения:</w:t>
      </w:r>
    </w:p>
    <w:p>
      <w:pPr>
        <w:pStyle w:val="14"/>
        <w:numPr>
          <w:ilvl w:val="0"/>
          <w:numId w:val="63"/>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61"/>
        </w:numPr>
        <w:shd w:val="clear" w:color="auto" w:fill="auto"/>
        <w:tabs>
          <w:tab w:val="clear" w:pos="709"/>
          <w:tab w:val="left" w:pos="425" w:leader="none"/>
        </w:tabs>
        <w:spacing w:before="0" w:after="0"/>
        <w:ind w:hanging="425" w:left="425"/>
        <w:rPr>
          <w:color w:val="auto"/>
          <w:highlight w:val="white"/>
        </w:rPr>
      </w:pPr>
      <w:r>
        <w:rPr>
          <w:color w:val="auto"/>
        </w:rPr>
        <w:t xml:space="preserve">в </w:t>
      </w:r>
      <w:r>
        <w:rPr>
          <w:color w:val="auto"/>
          <w:highlight w:val="white"/>
        </w:rPr>
        <w:t xml:space="preserve">Стратегии ВЭД Субъекта учтены </w:t>
      </w:r>
      <w:r>
        <w:rPr>
          <w:color w:val="auto"/>
        </w:rPr>
        <w:t>целевые</w:t>
      </w:r>
      <w:r>
        <w:rPr>
          <w:color w:val="auto"/>
          <w:highlight w:val="white"/>
        </w:rPr>
        <w:t xml:space="preserve"> показатели, обозначенные в п. 7 настоящего Инструмента;</w:t>
      </w:r>
    </w:p>
    <w:p>
      <w:pPr>
        <w:pStyle w:val="14"/>
        <w:numPr>
          <w:ilvl w:val="0"/>
          <w:numId w:val="61"/>
        </w:numPr>
        <w:shd w:val="clear" w:color="auto" w:fill="auto"/>
        <w:tabs>
          <w:tab w:val="clear" w:pos="709"/>
          <w:tab w:val="left" w:pos="425" w:leader="none"/>
        </w:tabs>
        <w:spacing w:before="0" w:after="102"/>
        <w:ind w:hanging="425" w:left="425"/>
        <w:rPr>
          <w:color w:val="auto"/>
          <w:highlight w:val="white"/>
        </w:rPr>
      </w:pPr>
      <w:r>
        <w:rPr>
          <w:color w:val="auto"/>
          <w:highlight w:val="white"/>
        </w:rPr>
        <w:t>в Стратегии ВЭД Субъекта предусмотрено значение показателя «Темп роста несырьевого неэнергетического экспорта региона к показателю 2023 года» к 2030 году не менее 167%.</w:t>
      </w:r>
    </w:p>
    <w:p>
      <w:pPr>
        <w:pStyle w:val="14"/>
        <w:shd w:val="clear" w:color="auto" w:fill="auto"/>
        <w:rPr>
          <w:color w:val="auto"/>
          <w:highlight w:val="white"/>
        </w:rPr>
      </w:pPr>
      <w:r>
        <w:rPr>
          <w:color w:val="auto"/>
          <w:highlight w:val="white"/>
        </w:rPr>
        <w:t>10.1.2.</w:t>
        <w:tab/>
        <w:t>Во второй год внедрения и далее:</w:t>
      </w:r>
    </w:p>
    <w:p>
      <w:pPr>
        <w:pStyle w:val="14"/>
        <w:numPr>
          <w:ilvl w:val="0"/>
          <w:numId w:val="64"/>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64"/>
        </w:numPr>
        <w:shd w:val="clear" w:color="auto" w:fill="auto"/>
        <w:spacing w:before="0" w:after="0"/>
        <w:ind w:hanging="425" w:left="425"/>
        <w:rPr>
          <w:color w:val="auto"/>
          <w:highlight w:val="white"/>
        </w:rPr>
      </w:pPr>
      <w:r>
        <w:rPr>
          <w:color w:val="auto"/>
          <w:highlight w:val="white"/>
        </w:rPr>
        <w:t>отчёт об исполнении Стратегии ВЭД за год, предшествующий отчетному году, предоставлен в Систему (с</w:t>
      </w:r>
      <w:r>
        <w:rPr>
          <w:color w:val="auto"/>
        </w:rPr>
        <w:t xml:space="preserve">огласован экспертом РЭЦ) </w:t>
      </w:r>
      <w:r>
        <w:rPr>
          <w:color w:val="auto"/>
          <w:highlight w:val="white"/>
        </w:rPr>
        <w:t>до 1 апреля отчетного года;</w:t>
      </w:r>
    </w:p>
    <w:p>
      <w:pPr>
        <w:pStyle w:val="14"/>
        <w:numPr>
          <w:ilvl w:val="0"/>
          <w:numId w:val="62"/>
        </w:numPr>
        <w:shd w:val="clear" w:color="auto" w:fill="auto"/>
        <w:tabs>
          <w:tab w:val="clear" w:pos="709"/>
          <w:tab w:val="left" w:pos="425" w:leader="none"/>
        </w:tabs>
        <w:spacing w:before="0" w:after="102"/>
        <w:ind w:hanging="425" w:left="425"/>
        <w:rPr>
          <w:color w:val="auto"/>
          <w:highlight w:val="white"/>
        </w:rPr>
      </w:pPr>
      <w:r>
        <w:rPr>
          <w:color w:val="auto"/>
          <w:highlight w:val="white"/>
        </w:rPr>
        <w:t>целевые показатели экспортной деятельности Субъекта «Темп роста несырьевого неэнергетического экспорта региона к показателю 2023 года» (подп. 7.5.1 настоящего Инструмента) и «Объем экспорта несырьевых неэнергетических товаров (в номинальных ценах)» (подп. 7.5 настоящего Инструмента) за год, предшествующий отчетному году, исполнены полностью.</w:t>
      </w:r>
    </w:p>
    <w:p>
      <w:pPr>
        <w:pStyle w:val="14"/>
        <w:shd w:val="clear" w:color="auto" w:fill="auto"/>
        <w:tabs>
          <w:tab w:val="clear" w:pos="709"/>
          <w:tab w:val="left" w:pos="425" w:leader="none"/>
        </w:tabs>
        <w:spacing w:before="0" w:after="0"/>
        <w:rPr>
          <w:color w:val="auto"/>
          <w:spacing w:val="-2"/>
          <w:highlight w:val="white"/>
        </w:rPr>
      </w:pPr>
      <w:r>
        <w:rPr>
          <w:color w:val="auto"/>
          <w:spacing w:val="-2"/>
          <w:highlight w:val="white"/>
        </w:rPr>
        <w:t>10.2.</w:t>
        <w:tab/>
        <w:t>Уровень 2:</w:t>
      </w:r>
    </w:p>
    <w:p>
      <w:pPr>
        <w:pStyle w:val="14"/>
        <w:shd w:val="clear" w:color="auto" w:fill="auto"/>
        <w:rPr>
          <w:color w:val="auto"/>
          <w:highlight w:val="white"/>
        </w:rPr>
      </w:pPr>
      <w:r>
        <w:rPr>
          <w:color w:val="auto"/>
          <w:highlight w:val="white"/>
        </w:rPr>
        <w:t>10.2.1.</w:t>
        <w:tab/>
        <w:t xml:space="preserve">В первый год внедрения – </w:t>
      </w:r>
      <w:r>
        <w:rPr>
          <w:color w:val="auto"/>
          <w:spacing w:val="-2"/>
          <w:highlight w:val="white"/>
        </w:rPr>
        <w:t>в Стратегии ВЭД Субъекта предусмотрено ежегодное значение показателя «</w:t>
      </w:r>
      <w:r>
        <w:rPr>
          <w:color w:val="auto"/>
          <w:highlight w:val="white"/>
        </w:rPr>
        <w:t>Темп роста несырьевого неэнергетического экспорта региона к показателю 2023 года» (подп. 7.5.1 настоящего Инструмента) не менее</w:t>
      </w:r>
      <w:r>
        <w:rPr>
          <w:rStyle w:val="FootnoteReference"/>
          <w:color w:val="auto"/>
          <w:highlight w:val="white"/>
        </w:rPr>
        <w:footnoteReference w:id="4"/>
      </w:r>
      <w:r>
        <w:rPr>
          <w:color w:val="auto"/>
          <w:highlight w:val="white"/>
        </w:rPr>
        <w:t>:</w:t>
      </w:r>
    </w:p>
    <w:p>
      <w:pPr>
        <w:pStyle w:val="14"/>
        <w:numPr>
          <w:ilvl w:val="0"/>
          <w:numId w:val="54"/>
        </w:numPr>
        <w:shd w:val="clear" w:color="auto" w:fill="auto"/>
        <w:tabs>
          <w:tab w:val="clear" w:pos="709"/>
          <w:tab w:val="left" w:pos="425" w:leader="none"/>
        </w:tabs>
        <w:spacing w:before="0" w:after="0"/>
        <w:ind w:hanging="425" w:left="425"/>
        <w:rPr>
          <w:color w:val="auto"/>
          <w:highlight w:val="white"/>
        </w:rPr>
      </w:pPr>
      <w:r>
        <w:rPr>
          <w:color w:val="auto"/>
          <w:highlight w:val="white"/>
        </w:rPr>
        <w:t>100,5% – в 2025 г.;</w:t>
      </w:r>
    </w:p>
    <w:p>
      <w:pPr>
        <w:pStyle w:val="14"/>
        <w:numPr>
          <w:ilvl w:val="0"/>
          <w:numId w:val="54"/>
        </w:numPr>
        <w:shd w:val="clear" w:color="auto" w:fill="auto"/>
        <w:tabs>
          <w:tab w:val="clear" w:pos="709"/>
          <w:tab w:val="left" w:pos="425" w:leader="none"/>
        </w:tabs>
        <w:spacing w:before="0" w:after="0"/>
        <w:ind w:hanging="425" w:left="425"/>
        <w:rPr>
          <w:color w:val="auto"/>
          <w:highlight w:val="white"/>
        </w:rPr>
      </w:pPr>
      <w:r>
        <w:rPr>
          <w:color w:val="auto"/>
          <w:highlight w:val="white"/>
        </w:rPr>
        <w:t>104,5% – в 2026 г.;</w:t>
      </w:r>
    </w:p>
    <w:p>
      <w:pPr>
        <w:pStyle w:val="14"/>
        <w:numPr>
          <w:ilvl w:val="0"/>
          <w:numId w:val="54"/>
        </w:numPr>
        <w:shd w:val="clear" w:color="auto" w:fill="auto"/>
        <w:tabs>
          <w:tab w:val="clear" w:pos="709"/>
          <w:tab w:val="left" w:pos="425" w:leader="none"/>
        </w:tabs>
        <w:spacing w:before="0" w:after="0"/>
        <w:ind w:hanging="425" w:left="425"/>
        <w:rPr>
          <w:color w:val="auto"/>
          <w:highlight w:val="white"/>
        </w:rPr>
      </w:pPr>
      <w:r>
        <w:rPr>
          <w:color w:val="auto"/>
          <w:highlight w:val="white"/>
        </w:rPr>
        <w:t>113,6% – в 2027 г.;</w:t>
      </w:r>
    </w:p>
    <w:p>
      <w:pPr>
        <w:pStyle w:val="14"/>
        <w:numPr>
          <w:ilvl w:val="0"/>
          <w:numId w:val="54"/>
        </w:numPr>
        <w:shd w:val="clear" w:color="auto" w:fill="auto"/>
        <w:tabs>
          <w:tab w:val="clear" w:pos="709"/>
          <w:tab w:val="left" w:pos="425" w:leader="none"/>
        </w:tabs>
        <w:spacing w:before="0" w:after="0"/>
        <w:ind w:hanging="425" w:left="425"/>
        <w:rPr>
          <w:color w:val="auto"/>
          <w:highlight w:val="white"/>
        </w:rPr>
      </w:pPr>
      <w:r>
        <w:rPr>
          <w:color w:val="auto"/>
          <w:highlight w:val="white"/>
        </w:rPr>
        <w:t>131,5% – в 2028 г.;</w:t>
      </w:r>
    </w:p>
    <w:p>
      <w:pPr>
        <w:pStyle w:val="14"/>
        <w:numPr>
          <w:ilvl w:val="0"/>
          <w:numId w:val="54"/>
        </w:numPr>
        <w:shd w:val="clear" w:color="auto" w:fill="auto"/>
        <w:tabs>
          <w:tab w:val="clear" w:pos="709"/>
          <w:tab w:val="left" w:pos="425" w:leader="none"/>
        </w:tabs>
        <w:spacing w:before="0" w:after="0"/>
        <w:ind w:hanging="425" w:left="425"/>
        <w:rPr>
          <w:color w:val="auto"/>
          <w:highlight w:val="white"/>
        </w:rPr>
      </w:pPr>
      <w:r>
        <w:rPr>
          <w:color w:val="auto"/>
          <w:highlight w:val="white"/>
        </w:rPr>
        <w:t>147,6% – в 2029 г.;</w:t>
      </w:r>
    </w:p>
    <w:p>
      <w:pPr>
        <w:pStyle w:val="14"/>
        <w:numPr>
          <w:ilvl w:val="0"/>
          <w:numId w:val="54"/>
        </w:numPr>
        <w:shd w:val="clear" w:color="auto" w:fill="auto"/>
        <w:tabs>
          <w:tab w:val="clear" w:pos="709"/>
          <w:tab w:val="left" w:pos="425" w:leader="none"/>
        </w:tabs>
        <w:spacing w:before="0" w:after="102"/>
        <w:ind w:hanging="425" w:left="425"/>
        <w:rPr>
          <w:color w:val="auto"/>
          <w:highlight w:val="white"/>
        </w:rPr>
      </w:pPr>
      <w:r>
        <w:rPr>
          <w:color w:val="auto"/>
          <w:highlight w:val="white"/>
        </w:rPr>
        <w:t>167,0% – в 2030 г.</w:t>
      </w:r>
    </w:p>
    <w:p>
      <w:pPr>
        <w:pStyle w:val="14"/>
        <w:shd w:val="clear" w:color="auto" w:fill="auto"/>
        <w:rPr>
          <w:color w:val="auto"/>
          <w:highlight w:val="white"/>
        </w:rPr>
      </w:pPr>
      <w:r>
        <w:rPr>
          <w:color w:val="auto"/>
          <w:highlight w:val="white"/>
        </w:rPr>
        <w:t>10.2.2.</w:t>
        <w:tab/>
        <w:t>Во второй год внедрения и далее – в году, предшествующему отчетному году, достигнуто значение показателя «Темп роста несырьевого неэнергетического экспорта региона к показателю 2023 года» (подп. 7.5.1 настоящего Инструмента) не ниже уровня, обозначенного в подп. 10.2.1 настоящего Инструмента, по соответствующему году.</w:t>
      </w:r>
    </w:p>
    <w:p>
      <w:pPr>
        <w:pStyle w:val="14"/>
        <w:shd w:val="clear" w:color="auto" w:fill="auto"/>
        <w:rPr>
          <w:color w:val="auto"/>
          <w:highlight w:val="white"/>
        </w:rPr>
      </w:pPr>
      <w:r>
        <w:rPr>
          <w:color w:val="auto"/>
          <w:highlight w:val="white"/>
        </w:rPr>
        <w:t>10.3.</w:t>
        <w:tab/>
        <w:t xml:space="preserve">Уровень 3: </w:t>
      </w:r>
    </w:p>
    <w:p>
      <w:pPr>
        <w:pStyle w:val="14"/>
        <w:shd w:val="clear" w:color="auto" w:fill="auto"/>
        <w:rPr>
          <w:color w:val="auto"/>
          <w:highlight w:val="white"/>
        </w:rPr>
      </w:pPr>
      <w:r>
        <w:rPr>
          <w:color w:val="auto"/>
          <w:highlight w:val="white"/>
        </w:rPr>
        <w:t>10.3.1.</w:t>
        <w:tab/>
        <w:t xml:space="preserve">В первый год внедрения – в Стратегии ВЭД Субъекта </w:t>
      </w:r>
      <w:r>
        <w:rPr>
          <w:color w:val="auto"/>
          <w:spacing w:val="-2"/>
          <w:highlight w:val="white"/>
        </w:rPr>
        <w:t>предусмотрено ежегодное значение показателя «</w:t>
      </w:r>
      <w:r>
        <w:rPr>
          <w:color w:val="auto"/>
          <w:highlight w:val="white"/>
        </w:rPr>
        <w:t>Темп роста несырьевого неэнергетического экспорта региона к показателю 2023 года» (подп. 7.5.1 настоящего Инструмента) не менее:</w:t>
      </w:r>
    </w:p>
    <w:p>
      <w:pPr>
        <w:pStyle w:val="14"/>
        <w:numPr>
          <w:ilvl w:val="0"/>
          <w:numId w:val="105"/>
        </w:numPr>
        <w:shd w:val="clear" w:color="auto" w:fill="auto"/>
        <w:tabs>
          <w:tab w:val="clear" w:pos="709"/>
          <w:tab w:val="left" w:pos="425" w:leader="none"/>
        </w:tabs>
        <w:spacing w:before="0" w:after="0"/>
        <w:ind w:hanging="425" w:left="425"/>
        <w:rPr>
          <w:color w:val="auto"/>
          <w:highlight w:val="white"/>
        </w:rPr>
      </w:pPr>
      <w:r>
        <w:rPr>
          <w:color w:val="auto"/>
          <w:highlight w:val="white"/>
        </w:rPr>
        <w:t>105,5% – в 2025 г.;</w:t>
      </w:r>
    </w:p>
    <w:p>
      <w:pPr>
        <w:pStyle w:val="14"/>
        <w:numPr>
          <w:ilvl w:val="0"/>
          <w:numId w:val="105"/>
        </w:numPr>
        <w:shd w:val="clear" w:color="auto" w:fill="auto"/>
        <w:tabs>
          <w:tab w:val="clear" w:pos="709"/>
          <w:tab w:val="left" w:pos="425" w:leader="none"/>
        </w:tabs>
        <w:spacing w:before="0" w:after="0"/>
        <w:ind w:hanging="425" w:left="425"/>
        <w:rPr>
          <w:color w:val="auto"/>
          <w:highlight w:val="white"/>
        </w:rPr>
      </w:pPr>
      <w:r>
        <w:rPr>
          <w:color w:val="auto"/>
          <w:highlight w:val="white"/>
        </w:rPr>
        <w:t>109,5% – в 2026 г.;</w:t>
      </w:r>
    </w:p>
    <w:p>
      <w:pPr>
        <w:pStyle w:val="14"/>
        <w:numPr>
          <w:ilvl w:val="0"/>
          <w:numId w:val="105"/>
        </w:numPr>
        <w:shd w:val="clear" w:color="auto" w:fill="auto"/>
        <w:tabs>
          <w:tab w:val="clear" w:pos="709"/>
          <w:tab w:val="left" w:pos="425" w:leader="none"/>
        </w:tabs>
        <w:spacing w:before="0" w:after="0"/>
        <w:ind w:hanging="425" w:left="425"/>
        <w:rPr>
          <w:color w:val="auto"/>
          <w:highlight w:val="white"/>
        </w:rPr>
      </w:pPr>
      <w:r>
        <w:rPr>
          <w:color w:val="auto"/>
          <w:highlight w:val="white"/>
        </w:rPr>
        <w:t>118,6% – в 2027 г.;</w:t>
      </w:r>
    </w:p>
    <w:p>
      <w:pPr>
        <w:pStyle w:val="14"/>
        <w:numPr>
          <w:ilvl w:val="0"/>
          <w:numId w:val="105"/>
        </w:numPr>
        <w:shd w:val="clear" w:color="auto" w:fill="auto"/>
        <w:tabs>
          <w:tab w:val="clear" w:pos="709"/>
          <w:tab w:val="left" w:pos="425" w:leader="none"/>
        </w:tabs>
        <w:spacing w:before="0" w:after="0"/>
        <w:ind w:hanging="425" w:left="425"/>
        <w:rPr>
          <w:color w:val="auto"/>
          <w:highlight w:val="white"/>
        </w:rPr>
      </w:pPr>
      <w:r>
        <w:rPr>
          <w:color w:val="auto"/>
          <w:highlight w:val="white"/>
        </w:rPr>
        <w:t>136,5% – в 2028 г.;</w:t>
      </w:r>
    </w:p>
    <w:p>
      <w:pPr>
        <w:pStyle w:val="14"/>
        <w:numPr>
          <w:ilvl w:val="0"/>
          <w:numId w:val="105"/>
        </w:numPr>
        <w:shd w:val="clear" w:color="auto" w:fill="auto"/>
        <w:tabs>
          <w:tab w:val="clear" w:pos="709"/>
          <w:tab w:val="left" w:pos="425" w:leader="none"/>
        </w:tabs>
        <w:spacing w:before="0" w:after="0"/>
        <w:ind w:hanging="425" w:left="425"/>
        <w:rPr>
          <w:color w:val="auto"/>
          <w:highlight w:val="white"/>
        </w:rPr>
      </w:pPr>
      <w:r>
        <w:rPr>
          <w:color w:val="auto"/>
          <w:highlight w:val="white"/>
        </w:rPr>
        <w:t>152,6% – в 2029 г.;</w:t>
      </w:r>
    </w:p>
    <w:p>
      <w:pPr>
        <w:pStyle w:val="14"/>
        <w:numPr>
          <w:ilvl w:val="0"/>
          <w:numId w:val="105"/>
        </w:numPr>
        <w:shd w:val="clear" w:color="auto" w:fill="auto"/>
        <w:tabs>
          <w:tab w:val="clear" w:pos="709"/>
          <w:tab w:val="left" w:pos="425" w:leader="none"/>
        </w:tabs>
        <w:spacing w:before="0" w:after="102"/>
        <w:ind w:hanging="425" w:left="425"/>
        <w:rPr>
          <w:color w:val="auto"/>
          <w:highlight w:val="white"/>
        </w:rPr>
      </w:pPr>
      <w:r>
        <w:rPr>
          <w:color w:val="auto"/>
          <w:highlight w:val="white"/>
        </w:rPr>
        <w:t>172,0% – в 2030 г.</w:t>
      </w:r>
    </w:p>
    <w:p>
      <w:pPr>
        <w:pStyle w:val="14"/>
        <w:shd w:val="clear" w:color="auto" w:fill="auto"/>
        <w:rPr>
          <w:color w:val="auto"/>
          <w:highlight w:val="white"/>
        </w:rPr>
      </w:pPr>
      <w:r>
        <w:rPr>
          <w:color w:val="auto"/>
          <w:highlight w:val="white"/>
        </w:rPr>
        <w:t>10.3.2.</w:t>
        <w:tab/>
        <w:t>Во второй год внедрения и далее – в году, предшествующему отчетному году, достигнуто значение показателя «Темп роста несырьевого неэнергетического экспорта региона к показателю 2023 года» (подп. 7.5.1 настоящего Инструмента) не ниже уровня, обозначенного в подп. 10.3.1 настоящего Инструмента, по соответствующему году.</w:t>
      </w:r>
    </w:p>
    <w:p>
      <w:pPr>
        <w:pStyle w:val="14"/>
        <w:shd w:val="clear" w:color="auto" w:fill="auto"/>
        <w:rPr>
          <w:color w:val="auto"/>
        </w:rPr>
      </w:pPr>
      <w:r>
        <w:rPr>
          <w:color w:val="auto"/>
        </w:rPr>
      </w:r>
      <w:r>
        <w:br w:type="page"/>
      </w:r>
    </w:p>
    <w:p>
      <w:pPr>
        <w:pStyle w:val="27"/>
        <w:keepNext w:val="true"/>
        <w:keepLines/>
        <w:shd w:val="clear" w:color="auto" w:fill="auto"/>
        <w:tabs>
          <w:tab w:val="clear" w:pos="709"/>
          <w:tab w:val="left" w:pos="350" w:leader="none"/>
        </w:tabs>
        <w:spacing w:before="0" w:after="100"/>
        <w:rPr>
          <w:color w:val="auto"/>
          <w:highlight w:val="white"/>
        </w:rPr>
      </w:pPr>
      <w:bookmarkStart w:id="5" w:name="bookmark4"/>
      <w:r>
        <w:rPr>
          <w:color w:val="auto"/>
          <w:highlight w:val="white"/>
        </w:rPr>
        <w:t>Инструмент 2. Формирование управленческой команды субъекта Российской Федерации</w:t>
      </w:r>
      <w:bookmarkEnd w:id="5"/>
    </w:p>
    <w:p>
      <w:pPr>
        <w:pStyle w:val="14"/>
        <w:shd w:val="clear" w:color="auto" w:fill="auto"/>
        <w:rPr>
          <w:color w:val="auto"/>
          <w:highlight w:val="white"/>
        </w:rPr>
      </w:pPr>
      <w:r>
        <w:rPr>
          <w:color w:val="auto"/>
          <w:highlight w:val="white"/>
        </w:rPr>
        <w:t>1.</w:t>
        <w:tab/>
        <w:t>Субъекту рекомендовано сформировать управленческую команду (далее – Управленческая команда), определить роль каждого члена команды в развитии экспорта в Субъекте.</w:t>
      </w:r>
    </w:p>
    <w:p>
      <w:pPr>
        <w:pStyle w:val="14"/>
        <w:shd w:val="clear" w:color="auto" w:fill="auto"/>
        <w:rPr>
          <w:color w:val="auto"/>
          <w:highlight w:val="white"/>
        </w:rPr>
      </w:pPr>
      <w:r>
        <w:rPr>
          <w:color w:val="auto"/>
          <w:highlight w:val="white"/>
        </w:rPr>
        <w:t>2.</w:t>
        <w:tab/>
        <w:t>В функции Управленческой команды могут входить:</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разработка, актуализация и реализация Стратегии ВЭД и Региональной программы развития экспорта Субъекта;</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внедрение и реализация инструментов Стандарта в Субъекте;</w:t>
      </w:r>
    </w:p>
    <w:p>
      <w:pPr>
        <w:pStyle w:val="14"/>
        <w:numPr>
          <w:ilvl w:val="0"/>
          <w:numId w:val="66"/>
        </w:numPr>
        <w:shd w:val="clear" w:color="auto" w:fill="auto"/>
        <w:tabs>
          <w:tab w:val="clear" w:pos="709"/>
          <w:tab w:val="left" w:pos="425" w:leader="none"/>
        </w:tabs>
        <w:spacing w:before="0" w:after="0"/>
        <w:ind w:hanging="425" w:left="425"/>
        <w:rPr>
          <w:color w:val="auto"/>
          <w:highlight w:val="white"/>
        </w:rPr>
      </w:pPr>
      <w:r>
        <w:rPr>
          <w:color w:val="auto"/>
          <w:highlight w:val="white"/>
        </w:rPr>
        <w:t>внедрение в Субъекте успешного опыта иных Субъектов из Сборника лучших практик;</w:t>
      </w:r>
    </w:p>
    <w:p>
      <w:pPr>
        <w:pStyle w:val="14"/>
        <w:numPr>
          <w:ilvl w:val="0"/>
          <w:numId w:val="66"/>
        </w:numPr>
        <w:shd w:val="clear" w:color="auto" w:fill="auto"/>
        <w:tabs>
          <w:tab w:val="clear" w:pos="709"/>
          <w:tab w:val="left" w:pos="425" w:leader="none"/>
        </w:tabs>
        <w:spacing w:before="0" w:after="0"/>
        <w:ind w:hanging="425" w:left="425"/>
        <w:rPr>
          <w:color w:val="auto"/>
          <w:highlight w:val="white"/>
        </w:rPr>
      </w:pPr>
      <w:r>
        <w:rPr>
          <w:color w:val="auto"/>
          <w:highlight w:val="white"/>
        </w:rPr>
        <w:t>обобщение успешного опыта поддержки экспорта и совершенствования региональной экспортной политики в Субъекте с целью формирования лучшей региональной практики для её масштабирования в иных Субъектах;</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разработка проектов рекомендаций для других органов исполнительной власти Субъекта по стимулированию курируемых отраслей экономики к экспортной деятельности;</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разработка предложений по мерам государственной поддержки, направленным на развитие несырьевого экспорта и информирование экспортеров о региональных и федеральных механизмах и инструментах поддержки;</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формирование предложений по выстраиванию международного сотрудничества с зарубежными странами, определенными Стратегией ВЭД Субъекта как приоритетные для утверждения на заседаниях Экспортного совета;</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координация работы по популяризации экспортной деятельности среди экономически активного населения и молодежи Субъекта;</w:t>
      </w:r>
    </w:p>
    <w:p>
      <w:pPr>
        <w:pStyle w:val="14"/>
        <w:numPr>
          <w:ilvl w:val="0"/>
          <w:numId w:val="12"/>
        </w:numPr>
        <w:shd w:val="clear" w:color="auto" w:fill="auto"/>
        <w:tabs>
          <w:tab w:val="clear" w:pos="709"/>
          <w:tab w:val="left" w:pos="425" w:leader="none"/>
        </w:tabs>
        <w:spacing w:before="0" w:after="0"/>
        <w:ind w:hanging="425" w:left="425"/>
        <w:rPr>
          <w:color w:val="auto"/>
          <w:highlight w:val="white"/>
        </w:rPr>
      </w:pPr>
      <w:r>
        <w:rPr>
          <w:color w:val="auto"/>
          <w:highlight w:val="white"/>
        </w:rPr>
        <w:t>определение и подготовка предложений по развитию оптимальных инструментов по обеспечению экспортных интересов субъектов предпринимательства Субъекта за рубежом;</w:t>
      </w:r>
    </w:p>
    <w:p>
      <w:pPr>
        <w:pStyle w:val="14"/>
        <w:numPr>
          <w:ilvl w:val="0"/>
          <w:numId w:val="12"/>
        </w:numPr>
        <w:shd w:val="clear" w:color="auto" w:fill="auto"/>
        <w:tabs>
          <w:tab w:val="clear" w:pos="709"/>
          <w:tab w:val="left" w:pos="425" w:leader="none"/>
        </w:tabs>
        <w:ind w:hanging="425" w:left="425"/>
        <w:rPr>
          <w:color w:val="auto"/>
          <w:highlight w:val="white"/>
        </w:rPr>
      </w:pPr>
      <w:r>
        <w:rPr>
          <w:color w:val="auto"/>
          <w:highlight w:val="white"/>
        </w:rPr>
        <w:t>иные функции по усмотрению Субъекта.</w:t>
      </w:r>
    </w:p>
    <w:p>
      <w:pPr>
        <w:pStyle w:val="14"/>
        <w:shd w:val="clear" w:color="auto" w:fill="auto"/>
        <w:rPr>
          <w:color w:val="auto"/>
        </w:rPr>
      </w:pPr>
      <w:r>
        <w:rPr>
          <w:color w:val="auto"/>
          <w:highlight w:val="white"/>
        </w:rPr>
        <w:t>3.</w:t>
        <w:tab/>
        <w:t>В состав Управленческой команды рекомендовано включить заместителя(ей) высшего должностного лица Субъекта, ответственного(ых) за развитие экспортной деятельности в Субъекте; должностное(ые) лицо(а), курирующее(ие) вопросы экспортной деятельности в Субъекте на уровне не ниже руководителя органа исполнительной власти; должностные лица, ответственные за развитие приоритетных отраслей экспорта Субъекта, на уровне не ниже заместителя руководителя органа исполнительной власти; должностное лицо, курирующее вопросы осуществления государственного управления в сфере образования и отвечающего за создание и развитие системы подготовки кадров для сферы внешнеэкономической деятельности на базе вузов Субъекта, на уровне не ниже руководителя органа исполнительной власти; руководителя центра поддержки экспорта Субъекта, представителя профильного регионального института развития, а также, по усмотрению Субъекта, главу или заместителя главы муниципального образования с наиболее высоким объемом экспорта, руководителей либо назначенных представителей региональных отделений российских деловых объединений (РСПП, «ОПОРА РОССИИ», «Деловая Россия», Торгово-промышленная палата России), руководителя представительства РЭЦ (в случае размещения офиса представительства в Субъекте). Рекомендованное количество членов управленческой команды – 7 человек.</w:t>
      </w:r>
    </w:p>
    <w:p>
      <w:pPr>
        <w:pStyle w:val="14"/>
        <w:shd w:val="clear" w:color="auto" w:fill="auto"/>
        <w:rPr>
          <w:color w:val="auto"/>
          <w:highlight w:val="white"/>
        </w:rPr>
      </w:pPr>
      <w:r>
        <w:rPr>
          <w:color w:val="auto"/>
          <w:highlight w:val="white"/>
        </w:rPr>
        <w:t>4.</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rPr>
        <w:t>4</w:t>
      </w:r>
      <w:r>
        <w:rPr>
          <w:color w:val="auto"/>
          <w:highlight w:val="white"/>
        </w:rPr>
        <w:t>.1.</w:t>
        <w:tab/>
        <w:t>Уровень 1:</w:t>
      </w:r>
    </w:p>
    <w:p>
      <w:pPr>
        <w:pStyle w:val="14"/>
        <w:numPr>
          <w:ilvl w:val="0"/>
          <w:numId w:val="87"/>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sectPr>
          <w:headerReference w:type="even" r:id="rId14"/>
          <w:headerReference w:type="default" r:id="rId15"/>
          <w:headerReference w:type="first" r:id="rId16"/>
          <w:footnotePr>
            <w:numFmt w:val="decimal"/>
          </w:footnotePr>
          <w:type w:val="nextPage"/>
          <w:pgSz w:w="11906" w:h="16838"/>
          <w:pgMar w:left="1134" w:right="850" w:gutter="0" w:header="709" w:top="1134" w:footer="0" w:bottom="1134"/>
          <w:pgNumType w:fmt="decimal"/>
          <w:formProt w:val="false"/>
          <w:textDirection w:val="lrTb"/>
          <w:docGrid w:type="default" w:linePitch="360" w:charSpace="0"/>
        </w:sectPr>
        <w:pStyle w:val="14"/>
        <w:numPr>
          <w:ilvl w:val="0"/>
          <w:numId w:val="69"/>
        </w:numPr>
        <w:shd w:val="clear" w:color="auto" w:fill="auto"/>
        <w:tabs>
          <w:tab w:val="clear" w:pos="709"/>
          <w:tab w:val="left" w:pos="425" w:leader="none"/>
        </w:tabs>
        <w:ind w:hanging="0" w:left="0"/>
        <w:rPr>
          <w:color w:val="auto"/>
          <w:highlight w:val="white"/>
        </w:rPr>
      </w:pPr>
      <w:r>
        <w:rPr>
          <w:color w:val="auto"/>
          <w:highlight w:val="white"/>
        </w:rPr>
        <w:t>Управленческая команда Субъекта сформирована.</w:t>
      </w:r>
    </w:p>
    <w:p>
      <w:pPr>
        <w:pStyle w:val="14"/>
        <w:shd w:val="clear" w:color="auto" w:fill="auto"/>
        <w:rPr>
          <w:color w:val="auto"/>
          <w:highlight w:val="white"/>
        </w:rPr>
      </w:pPr>
      <w:r>
        <w:rPr>
          <w:color w:val="auto"/>
        </w:rPr>
        <w:t>4</w:t>
      </w:r>
      <w:r>
        <w:rPr>
          <w:color w:val="auto"/>
          <w:highlight w:val="white"/>
        </w:rPr>
        <w:t>.2.</w:t>
        <w:tab/>
        <w:t>Уровень 2: в состав Управленческой команды Субъекта включены должностные лица на уровне не ниже руководителя органа исполнительной власти, курирующие вопросы осуществления государственного управления и развития в сферах: промышленности, сельского хозяйства, торговли, внешнеэкономической деятельности, международного сотрудничества,</w:t>
      </w:r>
      <w:r>
        <w:rPr>
          <w:color w:val="auto"/>
          <w:sz w:val="26"/>
          <w:szCs w:val="26"/>
        </w:rPr>
        <w:t xml:space="preserve"> </w:t>
      </w:r>
      <w:r>
        <w:rPr>
          <w:color w:val="auto"/>
          <w:highlight w:val="white"/>
        </w:rPr>
        <w:t>предпринимательства, туризма, инвестиций, инноваций и экономики.</w:t>
      </w:r>
    </w:p>
    <w:p>
      <w:pPr>
        <w:sectPr>
          <w:headerReference w:type="even" r:id="rId17"/>
          <w:headerReference w:type="default" r:id="rId18"/>
          <w:headerReference w:type="first" r:id="rId19"/>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rPr>
        <w:t>4</w:t>
      </w:r>
      <w:r>
        <w:rPr>
          <w:color w:val="auto"/>
          <w:highlight w:val="white"/>
        </w:rPr>
        <w:t>.3.</w:t>
        <w:tab/>
        <w:t>Уровень 3: в состав Управленческой команды Субъекта включено должностное лицо на уровне не ниже руководителя либо назначенного представителя не менее одного регионального отделения российского делового объединения (РСПП, «ОПОРА РОССИИ», «Деловая Россия», Торгово-промышленная палата России).</w:t>
      </w:r>
    </w:p>
    <w:p>
      <w:pPr>
        <w:pStyle w:val="27"/>
        <w:keepNext w:val="true"/>
        <w:keepLines/>
        <w:shd w:val="clear" w:color="auto" w:fill="auto"/>
        <w:tabs>
          <w:tab w:val="clear" w:pos="709"/>
          <w:tab w:val="left" w:pos="303" w:leader="none"/>
        </w:tabs>
        <w:rPr>
          <w:color w:val="auto"/>
          <w:highlight w:val="white"/>
        </w:rPr>
      </w:pPr>
      <w:r>
        <w:rPr>
          <w:color w:val="auto"/>
          <w:highlight w:val="white"/>
        </w:rPr>
        <w:t>Инструмент 3. Разработка и реализация Региональной программы развития экспорта субъекта Российской Федерации</w:t>
      </w:r>
    </w:p>
    <w:p>
      <w:pPr>
        <w:pStyle w:val="14"/>
        <w:shd w:val="clear" w:color="auto" w:fill="auto"/>
        <w:rPr>
          <w:color w:val="auto"/>
          <w:highlight w:val="white"/>
        </w:rPr>
      </w:pPr>
      <w:r>
        <w:rPr>
          <w:color w:val="auto"/>
          <w:highlight w:val="white"/>
        </w:rPr>
        <w:t>1.</w:t>
        <w:tab/>
        <w:t xml:space="preserve">В Субъекте рекомендовано разработать и утвердить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 Региональную программу развития экспорта Субъекта – комплексный план развития экспорта Субъекта на период до 2030 года </w:t>
      </w:r>
      <w:r>
        <w:rPr>
          <w:color w:val="auto"/>
          <w:highlight w:val="white"/>
        </w:rPr>
        <w:br w:type="textWrapping" w:clear="all"/>
      </w:r>
      <w:r>
        <w:rPr>
          <w:color w:val="auto"/>
          <w:highlight w:val="white"/>
        </w:rPr>
        <w:t>и на перспективу до 2036 года, включающий ключевые цели, показатели и мероприятия Субъекта, в которых присутствует экспортная составляющая (далее – Региональная программа).</w:t>
      </w:r>
    </w:p>
    <w:p>
      <w:pPr>
        <w:pStyle w:val="14"/>
        <w:shd w:val="clear" w:color="auto" w:fill="auto"/>
        <w:rPr>
          <w:color w:val="auto"/>
          <w:highlight w:val="white"/>
        </w:rPr>
      </w:pPr>
      <w:r>
        <w:rPr>
          <w:color w:val="auto"/>
          <w:highlight w:val="white"/>
        </w:rPr>
        <w:t>2.</w:t>
        <w:tab/>
        <w:t xml:space="preserve">Цели, задачи и ключевые показатели эффективности Региональной программы должны быть синхронизированы со Стратегией ВЭД Субъекта и отражать вклад Субъекта в достижение целей и целевых показателей, определенных в Указе Президента Российской Федерации </w:t>
        <w:br/>
        <w:t>от 7 мая 2024 г. № 309 «О национальных целях развития Российской Федерации на период до 2030 года и на перспективу до 2036 года» в рамках национальной цели «Устойчивая и динамичная экономика»:</w:t>
      </w:r>
    </w:p>
    <w:p>
      <w:pPr>
        <w:pStyle w:val="14"/>
        <w:numPr>
          <w:ilvl w:val="0"/>
          <w:numId w:val="3"/>
        </w:numPr>
        <w:shd w:val="clear" w:color="auto" w:fill="auto"/>
        <w:spacing w:before="0" w:after="0"/>
        <w:ind w:hanging="425" w:left="425"/>
        <w:rPr>
          <w:color w:val="auto"/>
          <w:highlight w:val="white"/>
        </w:rPr>
      </w:pPr>
      <w:r>
        <w:rPr>
          <w:color w:val="auto"/>
          <w:highlight w:val="white"/>
        </w:rPr>
        <w:t>обеспечение к 2030 году прироста объема экспорта несырьевых неэнергетических товаров не менее чем на две трети по сравнению с показателем 2023 года;</w:t>
      </w:r>
    </w:p>
    <w:p>
      <w:pPr>
        <w:pStyle w:val="14"/>
        <w:numPr>
          <w:ilvl w:val="0"/>
          <w:numId w:val="3"/>
        </w:numPr>
        <w:shd w:val="clear" w:color="auto" w:fill="auto"/>
        <w:spacing w:before="0" w:after="0"/>
        <w:ind w:hanging="425" w:left="425"/>
        <w:rPr>
          <w:color w:val="auto"/>
          <w:highlight w:val="white"/>
        </w:rPr>
      </w:pPr>
      <w:r>
        <w:rPr>
          <w:color w:val="auto"/>
          <w:highlight w:val="white"/>
        </w:rPr>
        <w:t>увеличение к 2030 году экспорта продукции агропромышленного комплекса не менее чем в полтора раза по сравнению с уровнем 2021 года;</w:t>
      </w:r>
    </w:p>
    <w:p>
      <w:pPr>
        <w:pStyle w:val="14"/>
        <w:numPr>
          <w:ilvl w:val="0"/>
          <w:numId w:val="3"/>
        </w:numPr>
        <w:shd w:val="clear" w:color="auto" w:fill="auto"/>
        <w:spacing w:before="0" w:after="102"/>
        <w:ind w:hanging="425" w:left="425"/>
        <w:rPr>
          <w:color w:val="auto"/>
          <w:highlight w:val="white"/>
        </w:rPr>
      </w:pPr>
      <w:r>
        <w:rPr>
          <w:color w:val="auto"/>
          <w:highlight w:val="white"/>
        </w:rPr>
        <w:t>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pPr>
        <w:pStyle w:val="14"/>
        <w:shd w:val="clear" w:color="auto" w:fill="auto"/>
        <w:rPr>
          <w:color w:val="auto"/>
          <w:highlight w:val="white"/>
        </w:rPr>
      </w:pPr>
      <w:r>
        <w:rPr>
          <w:color w:val="auto"/>
          <w:highlight w:val="white"/>
        </w:rPr>
        <w:t>3.</w:t>
        <w:tab/>
        <w:t>При разработке и актуализации Региональной программы Субъекту рекомендовано учитывать положения Методических рекомендаций РЭЦ.</w:t>
      </w:r>
    </w:p>
    <w:p>
      <w:pPr>
        <w:pStyle w:val="14"/>
        <w:shd w:val="clear" w:color="auto" w:fill="auto"/>
        <w:rPr>
          <w:color w:val="auto"/>
          <w:highlight w:val="white"/>
        </w:rPr>
      </w:pPr>
      <w:r>
        <w:rPr>
          <w:color w:val="auto"/>
          <w:highlight w:val="white"/>
        </w:rPr>
        <w:t>4.</w:t>
        <w:tab/>
        <w:t>Субъекту рекомендуется корректировать и актуализировать Региональную программу на регулярной основе при изменении внешних и внутренних факторов, оказывающих существенное влияние на развитие внешнеэкономической деятельности Субъекта.</w:t>
      </w:r>
    </w:p>
    <w:p>
      <w:pPr>
        <w:pStyle w:val="14"/>
        <w:shd w:val="clear" w:color="auto" w:fill="auto"/>
        <w:rPr>
          <w:color w:val="auto"/>
          <w:highlight w:val="white"/>
        </w:rPr>
      </w:pPr>
      <w:r>
        <w:rPr>
          <w:color w:val="auto"/>
          <w:highlight w:val="white"/>
        </w:rPr>
        <w:t>5.</w:t>
        <w:tab/>
        <w:t>В целях мониторинга исполнения мероприятий, утвержденных Стратегией ВЭД Субъекта, рекомендовано включить в Региональную программу детализированные мероприятия по реализации Стратегии ВЭД Субъекта.</w:t>
      </w:r>
    </w:p>
    <w:p>
      <w:pPr>
        <w:pStyle w:val="14"/>
        <w:shd w:val="clear" w:color="auto" w:fill="auto"/>
        <w:rPr>
          <w:color w:val="auto"/>
          <w:highlight w:val="white"/>
        </w:rPr>
      </w:pPr>
      <w:r>
        <w:rPr>
          <w:color w:val="auto"/>
          <w:highlight w:val="white"/>
        </w:rPr>
        <w:t>6.</w:t>
        <w:tab/>
        <w:t>Субъекту рекомендовано включить в Региональную программу мероприятия региональных проектов, обеспечивающих достижение целей, показателей и результатов соответствующего федерального проекта «Системные меры развития международной кооперации и экспорта» национального проекта (программы) «Международная кооперация и экспорт», федерального проекта «Производительность труда» национального проекта (программы) «Эффективная и конкурентная экономика», предусмотреть мероприятия, обеспечивающие увеличение объема несырьевого экспорта в Субъекте, а также создание условий для роста числа экспортно ориентированных Организаций, находящиеся на пересечении с другими национальными проектами.</w:t>
      </w:r>
    </w:p>
    <w:p>
      <w:pPr>
        <w:pStyle w:val="14"/>
        <w:shd w:val="clear" w:color="auto" w:fill="auto"/>
        <w:rPr>
          <w:color w:val="auto"/>
          <w:highlight w:val="white"/>
        </w:rPr>
      </w:pPr>
      <w:r>
        <w:rPr>
          <w:color w:val="auto"/>
          <w:highlight w:val="white"/>
        </w:rPr>
        <w:t>7.</w:t>
        <w:tab/>
        <w:t>В рамках подготовки Региональной программы развития экспорта Субъектом при определении целевых показателей по развитию экспорта продукции АПК в базовом сценарии необходимо использовать показатели, определенные в соответствующем региональном проекте «Экспорт продукции агропромышленного комплекса».</w:t>
      </w:r>
    </w:p>
    <w:p>
      <w:pPr>
        <w:pStyle w:val="14"/>
        <w:shd w:val="clear" w:color="auto" w:fill="auto"/>
        <w:rPr>
          <w:color w:val="auto"/>
          <w:highlight w:val="white"/>
        </w:rPr>
      </w:pPr>
      <w:r>
        <w:rPr>
          <w:color w:val="auto"/>
          <w:highlight w:val="white"/>
        </w:rPr>
        <w:t>8.</w:t>
        <w:tab/>
        <w:t>Также целесообразно предусмотреть в Региональной программе мероприятия по созданию экспортной инфраструктуры (в том числе ЦПЭ) для обеспечения развития экспорта в Субъекте и регулярную оценку её эффективности; по поддержке региональных предприятий экспортеров и экспортно ориентированных Организаций; по координации планов регионального бизнеса; по развитию экспорта с учетом особенностей основных направлений экспорта; по кооперации Субъектов в сфере поддержки экспортной деятельности, участию представителей регионального бизнеса в продвижении продукции за рубежом под национальным брендом «Сделано в России»; по планированию и развитию региональной транспортно-логистической инфраструктуры с учетом мероприятий по созданию и развитию инфраструктуры международных транспортно-логистических коридоров; по сотрудничеству Субъекта с правительственными и административно-территориальными образованиями иностранных государств в целях продвижения экспорта российских товаров и формирования проектов производственной кооперации (с учетом приоритетных направлений внешнеэкономических связей).</w:t>
      </w:r>
    </w:p>
    <w:p>
      <w:pPr>
        <w:pStyle w:val="14"/>
        <w:shd w:val="clear" w:color="auto" w:fill="auto"/>
        <w:rPr>
          <w:color w:val="auto"/>
          <w:highlight w:val="white"/>
        </w:rPr>
      </w:pPr>
      <w:r>
        <w:rPr>
          <w:color w:val="auto"/>
          <w:highlight w:val="white"/>
        </w:rPr>
        <w:t>9.</w:t>
        <w:tab/>
        <w:t>Субъекту рекомендовано предусмотреть в Региональной программе проведение на ежеквартальной основе мероприятий совместно с региональным представительством РЭЦ, направленных на популяризацию мер поддержки Группы РЭЦ (например, кредитно-гарантийная поддержка, страховая поддержка, иные меры поддержки) с участием экспортно ориентированных Организаций Субъекта.</w:t>
      </w:r>
    </w:p>
    <w:p>
      <w:pPr>
        <w:pStyle w:val="14"/>
        <w:shd w:val="clear" w:color="auto" w:fill="auto"/>
        <w:rPr>
          <w:color w:val="auto"/>
          <w:highlight w:val="white"/>
        </w:rPr>
      </w:pPr>
      <w:r>
        <w:rPr>
          <w:color w:val="auto"/>
          <w:highlight w:val="white"/>
        </w:rPr>
        <w:t>10.</w:t>
        <w:tab/>
        <w:t>В Региональную программу или её приложения рекомендуется включить мероприятия по внедрению Инструментов № 5-15 Стандарта с указанием количества мероприятий в год, с ежегодными планами и показателями, а также с учетом наличия в Региональной программе ключевых экспортных проектов регионального и федерального уровня.</w:t>
      </w:r>
    </w:p>
    <w:p>
      <w:pPr>
        <w:pStyle w:val="14"/>
        <w:shd w:val="clear" w:color="auto" w:fill="auto"/>
        <w:rPr>
          <w:color w:val="auto"/>
          <w:highlight w:val="white"/>
        </w:rPr>
      </w:pPr>
      <w:r>
        <w:rPr>
          <w:color w:val="auto"/>
          <w:highlight w:val="white"/>
        </w:rPr>
        <w:t>11.</w:t>
        <w:tab/>
        <w:t>В целях обеспечения реализации Региональной программы в полном объеме и внедрения всех Инструментов необходимо предусмотреть ресурсное обеспечение для реализации Региональной программы либо запланировать комплекс мероприятий по согласованию и выделению необходимых ресурсов в рамках соответствующих процедур бюджетного процесса, обеспечив необходимый объем финансирования в соответствии с разделом V Стандарта.</w:t>
      </w:r>
    </w:p>
    <w:p>
      <w:pPr>
        <w:pStyle w:val="14"/>
        <w:shd w:val="clear" w:color="auto" w:fill="auto"/>
        <w:rPr>
          <w:color w:val="auto"/>
          <w:highlight w:val="white"/>
        </w:rPr>
      </w:pPr>
      <w:r>
        <w:rPr>
          <w:color w:val="auto"/>
          <w:highlight w:val="white"/>
        </w:rPr>
        <w:t>12.</w:t>
        <w:tab/>
        <w:t>Субъекту рекомендовано включить в Региональную программу следующие показатели со значениями по годам:</w:t>
      </w:r>
    </w:p>
    <w:p>
      <w:pPr>
        <w:pStyle w:val="14"/>
        <w:shd w:val="clear" w:color="auto" w:fill="auto"/>
        <w:rPr>
          <w:color w:val="auto"/>
          <w:highlight w:val="white"/>
        </w:rPr>
      </w:pPr>
      <w:r>
        <w:rPr>
          <w:color w:val="auto"/>
          <w:highlight w:val="white"/>
        </w:rPr>
        <w:t>12.1.</w:t>
        <w:tab/>
        <w:t>Основные показатели:</w:t>
      </w:r>
    </w:p>
    <w:p>
      <w:pPr>
        <w:pStyle w:val="14"/>
        <w:numPr>
          <w:ilvl w:val="0"/>
          <w:numId w:val="4"/>
        </w:numPr>
        <w:shd w:val="clear" w:color="auto" w:fill="auto"/>
        <w:spacing w:before="0" w:after="0"/>
        <w:ind w:hanging="425" w:left="425"/>
        <w:rPr>
          <w:color w:val="auto"/>
          <w:highlight w:val="white"/>
        </w:rPr>
      </w:pPr>
      <w:r>
        <w:rPr>
          <w:color w:val="auto"/>
          <w:highlight w:val="white"/>
        </w:rPr>
        <w:t>темп роста объема экспорта несырьевых неэнергетических товаров к показателю 2023 года (%);</w:t>
      </w:r>
    </w:p>
    <w:p>
      <w:pPr>
        <w:pStyle w:val="14"/>
        <w:numPr>
          <w:ilvl w:val="0"/>
          <w:numId w:val="4"/>
        </w:numPr>
        <w:shd w:val="clear" w:color="auto" w:fill="auto"/>
        <w:spacing w:before="0" w:after="0"/>
        <w:ind w:hanging="425" w:left="425"/>
        <w:rPr>
          <w:color w:val="auto"/>
          <w:highlight w:val="white"/>
        </w:rPr>
      </w:pPr>
      <w:r>
        <w:rPr>
          <w:color w:val="auto"/>
          <w:highlight w:val="white"/>
        </w:rPr>
        <w:t>объем экспорта несырьевых неэнергетических товаров (в номинальных ценах, млрд долл. США);</w:t>
      </w:r>
    </w:p>
    <w:p>
      <w:pPr>
        <w:pStyle w:val="14"/>
        <w:numPr>
          <w:ilvl w:val="0"/>
          <w:numId w:val="4"/>
        </w:numPr>
        <w:shd w:val="clear" w:color="auto" w:fill="auto"/>
        <w:spacing w:before="0" w:after="0"/>
        <w:ind w:hanging="425" w:left="425"/>
        <w:rPr>
          <w:color w:val="auto"/>
          <w:highlight w:val="white"/>
        </w:rPr>
      </w:pPr>
      <w:r>
        <w:rPr>
          <w:color w:val="auto"/>
          <w:highlight w:val="white"/>
        </w:rPr>
        <w:t>объем экспорта товаров отраслей промышленности (в номинальных ценах, млрд долл. США);</w:t>
      </w:r>
    </w:p>
    <w:p>
      <w:pPr>
        <w:pStyle w:val="14"/>
        <w:numPr>
          <w:ilvl w:val="0"/>
          <w:numId w:val="4"/>
        </w:numPr>
        <w:shd w:val="clear" w:color="auto" w:fill="auto"/>
        <w:spacing w:before="0" w:after="102"/>
        <w:ind w:hanging="425" w:left="425"/>
        <w:rPr>
          <w:color w:val="auto"/>
          <w:highlight w:val="white"/>
        </w:rPr>
      </w:pPr>
      <w:r>
        <w:rPr>
          <w:color w:val="auto"/>
          <w:highlight w:val="white"/>
        </w:rPr>
        <w:t>объем экспорта продукции агропромышленного комплекса (в номинальных ценах, млрд долл. США).</w:t>
      </w:r>
    </w:p>
    <w:p>
      <w:pPr>
        <w:pStyle w:val="14"/>
        <w:shd w:val="clear" w:color="auto" w:fill="auto"/>
        <w:tabs>
          <w:tab w:val="clear" w:pos="709"/>
          <w:tab w:val="left" w:pos="425" w:leader="none"/>
        </w:tabs>
        <w:rPr>
          <w:color w:val="auto"/>
          <w:highlight w:val="white"/>
        </w:rPr>
      </w:pPr>
      <w:r>
        <w:rPr>
          <w:color w:val="auto"/>
          <w:highlight w:val="white"/>
        </w:rPr>
        <w:t>12.2.</w:t>
        <w:tab/>
        <w:t>Дополнительные показатели:</w:t>
      </w:r>
    </w:p>
    <w:p>
      <w:pPr>
        <w:pStyle w:val="14"/>
        <w:numPr>
          <w:ilvl w:val="0"/>
          <w:numId w:val="5"/>
        </w:numPr>
        <w:shd w:val="clear" w:color="auto" w:fill="auto"/>
        <w:spacing w:before="0" w:after="0"/>
        <w:ind w:hanging="425" w:left="425"/>
        <w:rPr>
          <w:color w:val="auto"/>
          <w:highlight w:val="white"/>
        </w:rPr>
      </w:pPr>
      <w:r>
        <w:rPr>
          <w:color w:val="auto"/>
          <w:highlight w:val="white"/>
        </w:rPr>
        <w:t>количество экспортеров, являющихся СМСП (ед.);</w:t>
      </w:r>
    </w:p>
    <w:p>
      <w:pPr>
        <w:pStyle w:val="14"/>
        <w:numPr>
          <w:ilvl w:val="0"/>
          <w:numId w:val="5"/>
        </w:numPr>
        <w:shd w:val="clear" w:color="auto" w:fill="auto"/>
        <w:spacing w:before="0" w:after="0"/>
        <w:ind w:hanging="425" w:left="425"/>
        <w:rPr>
          <w:color w:val="auto"/>
          <w:highlight w:val="white"/>
        </w:rPr>
      </w:pPr>
      <w:r>
        <w:rPr>
          <w:color w:val="auto"/>
          <w:highlight w:val="white"/>
        </w:rPr>
        <w:t>объем экспорта несырьевых неэнергетических товаров СМСП (млрд долл. США);</w:t>
      </w:r>
    </w:p>
    <w:p>
      <w:pPr>
        <w:pStyle w:val="14"/>
        <w:numPr>
          <w:ilvl w:val="0"/>
          <w:numId w:val="5"/>
        </w:numPr>
        <w:shd w:val="clear" w:color="auto" w:fill="auto"/>
        <w:spacing w:before="0" w:after="0"/>
        <w:ind w:hanging="425" w:left="425"/>
        <w:rPr>
          <w:color w:val="auto"/>
          <w:highlight w:val="white"/>
        </w:rPr>
      </w:pPr>
      <w:r>
        <w:rPr>
          <w:color w:val="auto"/>
          <w:highlight w:val="white"/>
        </w:rPr>
        <w:t>количество стран экспорта Субъекта (ед.);</w:t>
      </w:r>
    </w:p>
    <w:p>
      <w:pPr>
        <w:pStyle w:val="14"/>
        <w:numPr>
          <w:ilvl w:val="0"/>
          <w:numId w:val="5"/>
        </w:numPr>
        <w:shd w:val="clear" w:color="auto" w:fill="auto"/>
        <w:spacing w:before="0" w:after="102"/>
        <w:ind w:hanging="425" w:left="425"/>
        <w:rPr>
          <w:color w:val="auto"/>
          <w:highlight w:val="white"/>
        </w:rPr>
      </w:pPr>
      <w:r>
        <w:rPr>
          <w:color w:val="auto"/>
          <w:highlight w:val="white"/>
        </w:rPr>
        <w:t>объем экспорта несырьевых неэнергетических товаров в опорные страны</w:t>
      </w:r>
      <w:r>
        <w:rPr>
          <w:rStyle w:val="FootnoteReference"/>
          <w:color w:val="auto"/>
          <w:highlight w:val="white"/>
        </w:rPr>
        <w:footnoteReference w:id="5"/>
      </w:r>
      <w:r>
        <w:rPr>
          <w:color w:val="auto"/>
          <w:highlight w:val="white"/>
        </w:rPr>
        <w:t xml:space="preserve"> (млрд долл. США)</w:t>
      </w:r>
    </w:p>
    <w:p>
      <w:pPr>
        <w:pStyle w:val="14"/>
        <w:shd w:val="clear" w:color="auto" w:fill="auto"/>
        <w:rPr>
          <w:color w:val="auto"/>
          <w:highlight w:val="white"/>
        </w:rPr>
      </w:pPr>
      <w:r>
        <w:rPr>
          <w:color w:val="auto"/>
          <w:highlight w:val="white"/>
        </w:rPr>
        <w:t>12.3.</w:t>
        <w:tab/>
        <w:t>Инициативные показатели, влияющие на уровень внедрения Инструмента, подтвержденные РЭЦ в ИС «1С»:</w:t>
      </w:r>
    </w:p>
    <w:p>
      <w:pPr>
        <w:pStyle w:val="14"/>
        <w:numPr>
          <w:ilvl w:val="0"/>
          <w:numId w:val="6"/>
        </w:numPr>
        <w:shd w:val="clear" w:color="auto" w:fill="auto"/>
        <w:ind w:hanging="425" w:left="425"/>
        <w:rPr>
          <w:color w:val="auto"/>
          <w:highlight w:val="white"/>
        </w:rPr>
      </w:pPr>
      <w:r>
        <w:rPr>
          <w:color w:val="auto"/>
          <w:highlight w:val="white"/>
        </w:rPr>
        <w:t>количество уникальных Организаций, получивших меры государственной поддержки экспорта, реализуемых в Субъекте, не менее чем</w:t>
      </w:r>
      <w:r>
        <w:rPr>
          <w:rStyle w:val="FootnoteReference"/>
          <w:color w:val="auto"/>
          <w:highlight w:val="white"/>
        </w:rPr>
        <w:footnoteReference w:id="6"/>
      </w:r>
      <w:r>
        <w:rPr>
          <w:color w:val="auto"/>
          <w:highlight w:val="white"/>
        </w:rPr>
        <w:t>:</w:t>
      </w:r>
    </w:p>
    <w:p>
      <w:pPr>
        <w:pStyle w:val="14"/>
        <w:numPr>
          <w:ilvl w:val="0"/>
          <w:numId w:val="74"/>
        </w:numPr>
        <w:shd w:val="clear" w:color="auto" w:fill="auto"/>
        <w:spacing w:before="0" w:after="0"/>
        <w:ind w:hanging="295" w:left="720"/>
        <w:rPr>
          <w:color w:val="auto"/>
          <w:highlight w:val="white"/>
        </w:rPr>
      </w:pPr>
      <w:r>
        <w:rPr>
          <w:color w:val="auto"/>
          <w:highlight w:val="white"/>
        </w:rPr>
        <w:t>100 ед. – для регионов, относящихся к 1-й группе;</w:t>
      </w:r>
    </w:p>
    <w:p>
      <w:pPr>
        <w:pStyle w:val="14"/>
        <w:numPr>
          <w:ilvl w:val="0"/>
          <w:numId w:val="74"/>
        </w:numPr>
        <w:shd w:val="clear" w:color="auto" w:fill="auto"/>
        <w:spacing w:before="0" w:after="0"/>
        <w:ind w:hanging="295" w:left="720"/>
        <w:rPr>
          <w:color w:val="auto"/>
          <w:highlight w:val="white"/>
        </w:rPr>
      </w:pPr>
      <w:r>
        <w:rPr>
          <w:color w:val="auto"/>
          <w:highlight w:val="white"/>
        </w:rPr>
        <w:t>200 ед. – для регионов, относящихся к 2-й группе;</w:t>
      </w:r>
    </w:p>
    <w:p>
      <w:pPr>
        <w:pStyle w:val="14"/>
        <w:numPr>
          <w:ilvl w:val="0"/>
          <w:numId w:val="74"/>
        </w:numPr>
        <w:shd w:val="clear" w:color="auto" w:fill="auto"/>
        <w:spacing w:before="0" w:after="0"/>
        <w:ind w:hanging="295" w:left="720"/>
        <w:rPr>
          <w:color w:val="auto"/>
          <w:highlight w:val="white"/>
        </w:rPr>
      </w:pPr>
      <w:r>
        <w:rPr>
          <w:color w:val="auto"/>
          <w:highlight w:val="white"/>
        </w:rPr>
        <w:t>300 ед. – для регионов, относящихся к 3-й группе;</w:t>
      </w:r>
    </w:p>
    <w:p>
      <w:pPr>
        <w:pStyle w:val="14"/>
        <w:numPr>
          <w:ilvl w:val="0"/>
          <w:numId w:val="74"/>
        </w:numPr>
        <w:shd w:val="clear" w:color="auto" w:fill="auto"/>
        <w:spacing w:before="0" w:after="0"/>
        <w:ind w:hanging="295" w:left="720"/>
        <w:rPr>
          <w:color w:val="auto"/>
          <w:highlight w:val="white"/>
        </w:rPr>
      </w:pPr>
      <w:r>
        <w:rPr>
          <w:color w:val="auto"/>
          <w:highlight w:val="white"/>
        </w:rPr>
        <w:t>400 ед. – для регионов, относящихся к 4-й группе;</w:t>
      </w:r>
    </w:p>
    <w:p>
      <w:pPr>
        <w:pStyle w:val="14"/>
        <w:numPr>
          <w:ilvl w:val="0"/>
          <w:numId w:val="74"/>
        </w:numPr>
        <w:shd w:val="clear" w:color="auto" w:fill="auto"/>
        <w:ind w:hanging="295" w:left="720"/>
        <w:rPr>
          <w:color w:val="auto"/>
          <w:highlight w:val="white"/>
        </w:rPr>
      </w:pPr>
      <w:r>
        <w:rPr>
          <w:color w:val="auto"/>
          <w:highlight w:val="white"/>
        </w:rPr>
        <w:t>500 ед. – для регионов, относящихся к 5-й группе;</w:t>
      </w:r>
    </w:p>
    <w:p>
      <w:pPr>
        <w:pStyle w:val="14"/>
        <w:numPr>
          <w:ilvl w:val="0"/>
          <w:numId w:val="52"/>
        </w:numPr>
        <w:shd w:val="clear" w:color="auto" w:fill="auto"/>
        <w:ind w:hanging="425" w:left="425"/>
        <w:rPr>
          <w:color w:val="auto"/>
          <w:highlight w:val="white"/>
        </w:rPr>
      </w:pPr>
      <w:r>
        <w:rPr>
          <w:color w:val="auto"/>
          <w:highlight w:val="white"/>
        </w:rPr>
        <w:t xml:space="preserve">конверсия количества уникальных Организаций, получивших меры поддержки экспорта, </w:t>
      </w:r>
      <w:r>
        <w:rPr>
          <w:color w:val="auto"/>
        </w:rPr>
        <w:t xml:space="preserve">за отчетный год и 2 (два) года, предшествующие отчетному, </w:t>
      </w:r>
      <w:r>
        <w:rPr>
          <w:color w:val="auto"/>
          <w:highlight w:val="white"/>
        </w:rPr>
        <w:t>в количество уникальных Организаций, заключивших экспортный(ые) контракт(ы) в отчетном году, не менее чем 10%;</w:t>
      </w:r>
    </w:p>
    <w:p>
      <w:pPr>
        <w:pStyle w:val="14"/>
        <w:numPr>
          <w:ilvl w:val="0"/>
          <w:numId w:val="7"/>
        </w:numPr>
        <w:shd w:val="clear" w:color="auto" w:fill="auto"/>
        <w:ind w:hanging="425" w:left="425"/>
        <w:rPr>
          <w:color w:val="auto"/>
          <w:highlight w:val="white"/>
        </w:rPr>
      </w:pPr>
      <w:r>
        <w:rPr>
          <w:color w:val="auto"/>
          <w:highlight w:val="white"/>
        </w:rPr>
        <w:t xml:space="preserve">объем экспорта Организаций, заключивших экспортные контракты и осуществивших экспорт товаров (работ, услуг), при поддержке Субъекта, не менее чем: </w:t>
      </w:r>
    </w:p>
    <w:p>
      <w:pPr>
        <w:pStyle w:val="14"/>
        <w:numPr>
          <w:ilvl w:val="0"/>
          <w:numId w:val="75"/>
        </w:numPr>
        <w:shd w:val="clear" w:color="auto" w:fill="auto"/>
        <w:spacing w:before="0" w:after="0"/>
        <w:rPr>
          <w:color w:val="auto"/>
          <w:highlight w:val="white"/>
        </w:rPr>
      </w:pPr>
      <w:r>
        <w:rPr>
          <w:color w:val="auto"/>
          <w:highlight w:val="white"/>
        </w:rPr>
        <w:t>2 млн долл. США – для регионов, относящихся к 1-й группе;</w:t>
      </w:r>
    </w:p>
    <w:p>
      <w:pPr>
        <w:pStyle w:val="14"/>
        <w:numPr>
          <w:ilvl w:val="0"/>
          <w:numId w:val="75"/>
        </w:numPr>
        <w:shd w:val="clear" w:color="auto" w:fill="auto"/>
        <w:spacing w:before="0" w:after="0"/>
        <w:rPr>
          <w:color w:val="auto"/>
          <w:highlight w:val="white"/>
        </w:rPr>
      </w:pPr>
      <w:r>
        <w:rPr>
          <w:color w:val="auto"/>
          <w:highlight w:val="white"/>
        </w:rPr>
        <w:t>5 млн долл. США – для регионов, относящихся к 2-й группе;</w:t>
      </w:r>
    </w:p>
    <w:p>
      <w:pPr>
        <w:pStyle w:val="14"/>
        <w:numPr>
          <w:ilvl w:val="0"/>
          <w:numId w:val="75"/>
        </w:numPr>
        <w:shd w:val="clear" w:color="auto" w:fill="auto"/>
        <w:spacing w:before="0" w:after="0"/>
        <w:rPr>
          <w:color w:val="auto"/>
          <w:highlight w:val="white"/>
        </w:rPr>
      </w:pPr>
      <w:r>
        <w:rPr>
          <w:color w:val="auto"/>
          <w:highlight w:val="white"/>
        </w:rPr>
        <w:t>9 млн долл. США – для регионов, относящихся к 3-й группе;</w:t>
      </w:r>
    </w:p>
    <w:p>
      <w:pPr>
        <w:pStyle w:val="14"/>
        <w:numPr>
          <w:ilvl w:val="0"/>
          <w:numId w:val="75"/>
        </w:numPr>
        <w:shd w:val="clear" w:color="auto" w:fill="auto"/>
        <w:spacing w:before="0" w:after="0"/>
        <w:rPr>
          <w:color w:val="auto"/>
          <w:highlight w:val="white"/>
        </w:rPr>
      </w:pPr>
      <w:r>
        <w:rPr>
          <w:color w:val="auto"/>
          <w:highlight w:val="white"/>
        </w:rPr>
        <w:t>14 млн долл. США – для регионов, относящихся к 4-й группе;</w:t>
      </w:r>
    </w:p>
    <w:p>
      <w:pPr>
        <w:pStyle w:val="14"/>
        <w:numPr>
          <w:ilvl w:val="0"/>
          <w:numId w:val="75"/>
        </w:numPr>
        <w:shd w:val="clear" w:color="auto" w:fill="auto"/>
        <w:rPr>
          <w:color w:val="auto"/>
          <w:highlight w:val="white"/>
        </w:rPr>
      </w:pPr>
      <w:r>
        <w:rPr>
          <w:color w:val="auto"/>
          <w:highlight w:val="white"/>
        </w:rPr>
        <w:t>20 млн долл. США – для регионов, относящихся к 5-й группе;</w:t>
      </w:r>
    </w:p>
    <w:p>
      <w:pPr>
        <w:pStyle w:val="14"/>
        <w:numPr>
          <w:ilvl w:val="0"/>
          <w:numId w:val="8"/>
        </w:numPr>
        <w:shd w:val="clear" w:color="auto" w:fill="auto"/>
        <w:ind w:hanging="425" w:left="425"/>
        <w:rPr>
          <w:color w:val="auto"/>
          <w:highlight w:val="white"/>
        </w:rPr>
      </w:pPr>
      <w:r>
        <w:rPr>
          <w:color w:val="auto"/>
          <w:highlight w:val="white"/>
        </w:rPr>
        <w:t>минимальная годовая средняя эффективность мер поддержки</w:t>
      </w:r>
      <w:r>
        <w:rPr>
          <w:rStyle w:val="user"/>
          <w:color w:val="auto"/>
          <w:position w:val="0"/>
          <w:sz w:val="24"/>
          <w:sz w:val="24"/>
          <w:highlight w:val="white"/>
          <w:vertAlign w:val="baseline"/>
        </w:rPr>
        <w:t xml:space="preserve"> экспорта</w:t>
      </w:r>
      <w:r>
        <w:rPr>
          <w:rStyle w:val="FootnoteReference"/>
          <w:color w:val="auto"/>
          <w:highlight w:val="white"/>
        </w:rPr>
        <w:footnoteReference w:id="7"/>
      </w:r>
      <w:r>
        <w:rPr>
          <w:color w:val="auto"/>
          <w:highlight w:val="white"/>
        </w:rPr>
        <w:t xml:space="preserve"> с плановым значением на 2025–2026 гг. – 5 ед., на 2027–2028 гг. – 7 ед., на 2029–2030 гг. – 9 ед.</w:t>
      </w:r>
    </w:p>
    <w:p>
      <w:pPr>
        <w:pStyle w:val="14"/>
        <w:shd w:val="clear" w:color="auto" w:fill="auto"/>
        <w:rPr>
          <w:color w:val="auto"/>
        </w:rPr>
      </w:pPr>
      <w:r>
        <w:rPr>
          <w:color w:val="auto"/>
        </w:rPr>
        <w:t>13.</w:t>
        <w:tab/>
      </w:r>
      <w:r>
        <w:rPr>
          <w:color w:val="auto"/>
          <w:highlight w:val="white"/>
        </w:rPr>
        <w:t>По усмотрению Субъекта в Региональную программу или её приложения могут быть включены дополнительно иные мероприятия, показатели и планы, в том числе обозначенные в Инструментах Стандарта:</w:t>
      </w:r>
    </w:p>
    <w:p>
      <w:pPr>
        <w:pStyle w:val="14"/>
        <w:numPr>
          <w:ilvl w:val="0"/>
          <w:numId w:val="118"/>
        </w:numPr>
        <w:shd w:val="clear" w:color="auto" w:fill="auto"/>
        <w:spacing w:before="0" w:after="0"/>
        <w:ind w:hanging="425" w:left="425"/>
        <w:rPr>
          <w:color w:val="auto"/>
        </w:rPr>
      </w:pPr>
      <w:r>
        <w:rPr>
          <w:color w:val="auto"/>
        </w:rPr>
        <w:t>план предоставления региональных мер государственной поддержки экспорта (Инструмент 7);</w:t>
      </w:r>
    </w:p>
    <w:p>
      <w:pPr>
        <w:pStyle w:val="14"/>
        <w:numPr>
          <w:ilvl w:val="0"/>
          <w:numId w:val="118"/>
        </w:numPr>
        <w:shd w:val="clear" w:color="auto" w:fill="auto"/>
        <w:spacing w:before="0" w:after="0"/>
        <w:ind w:hanging="425" w:left="425"/>
        <w:rPr>
          <w:color w:val="auto"/>
        </w:rPr>
      </w:pPr>
      <w:r>
        <w:rPr>
          <w:color w:val="auto"/>
        </w:rPr>
        <w:t>план цифровизации мер поддержки экспорта (Инструмент 8);</w:t>
      </w:r>
    </w:p>
    <w:p>
      <w:pPr>
        <w:pStyle w:val="14"/>
        <w:numPr>
          <w:ilvl w:val="0"/>
          <w:numId w:val="118"/>
        </w:numPr>
        <w:shd w:val="clear" w:color="auto" w:fill="auto"/>
        <w:spacing w:before="0" w:after="0"/>
        <w:ind w:hanging="425" w:left="425"/>
        <w:rPr>
          <w:color w:val="auto"/>
        </w:rPr>
      </w:pPr>
      <w:r>
        <w:rPr>
          <w:color w:val="auto"/>
        </w:rPr>
        <w:t>план информационно-образовательной поддержки экспортной деятельности (Инструмент 10);</w:t>
      </w:r>
    </w:p>
    <w:p>
      <w:pPr>
        <w:pStyle w:val="14"/>
        <w:numPr>
          <w:ilvl w:val="0"/>
          <w:numId w:val="118"/>
        </w:numPr>
        <w:shd w:val="clear" w:color="auto" w:fill="auto"/>
        <w:spacing w:before="0" w:after="0"/>
        <w:ind w:hanging="425" w:left="425"/>
        <w:rPr>
          <w:color w:val="auto"/>
        </w:rPr>
      </w:pPr>
      <w:r>
        <w:rPr>
          <w:color w:val="auto"/>
        </w:rPr>
        <w:t>план развития системы подготовки кадров в сфере внешнеэкономической деятельности (Инструмент 12);</w:t>
      </w:r>
    </w:p>
    <w:p>
      <w:pPr>
        <w:pStyle w:val="14"/>
        <w:numPr>
          <w:ilvl w:val="0"/>
          <w:numId w:val="118"/>
        </w:numPr>
        <w:shd w:val="clear" w:color="auto" w:fill="auto"/>
        <w:spacing w:before="0" w:after="0"/>
        <w:ind w:hanging="425" w:left="425"/>
        <w:rPr>
          <w:color w:val="auto"/>
        </w:rPr>
      </w:pPr>
      <w:r>
        <w:rPr>
          <w:color w:val="auto"/>
        </w:rPr>
        <w:t>план продвижения продукции региональных компаний за рубежом (Инструмент 14);</w:t>
      </w:r>
    </w:p>
    <w:p>
      <w:pPr>
        <w:pStyle w:val="14"/>
        <w:numPr>
          <w:ilvl w:val="0"/>
          <w:numId w:val="118"/>
        </w:numPr>
        <w:shd w:val="clear" w:color="auto" w:fill="auto"/>
        <w:ind w:hanging="425" w:left="425"/>
        <w:rPr>
          <w:color w:val="auto"/>
          <w:highlight w:val="white"/>
        </w:rPr>
      </w:pPr>
      <w:r>
        <w:rPr>
          <w:color w:val="auto"/>
        </w:rPr>
        <w:t>план по обеспечению международного присутствия (Инструмент 15).</w:t>
      </w:r>
    </w:p>
    <w:p>
      <w:pPr>
        <w:pStyle w:val="14"/>
        <w:shd w:val="clear" w:color="auto" w:fill="auto"/>
        <w:rPr>
          <w:color w:val="auto"/>
        </w:rPr>
      </w:pPr>
      <w:r>
        <w:rPr>
          <w:color w:val="auto"/>
          <w:highlight w:val="white"/>
        </w:rPr>
        <w:t>Указанные планы могут быть включены в Региональную программу в качестве отдельных приложений.</w:t>
      </w:r>
    </w:p>
    <w:p>
      <w:pPr>
        <w:pStyle w:val="14"/>
        <w:shd w:val="clear" w:color="auto" w:fill="auto"/>
        <w:rPr>
          <w:color w:val="auto"/>
          <w:highlight w:val="white"/>
        </w:rPr>
      </w:pPr>
      <w:r>
        <w:rPr>
          <w:color w:val="auto"/>
          <w:highlight w:val="white"/>
        </w:rPr>
        <w:t>14.</w:t>
        <w:tab/>
        <w:t>В дополнение к п. 12 настоящего Инструмента Субъекту рекомендуется ежегодно разрабатывать, утверждать и вносить в Систему плановые значения за 9 месяцев предстоящего года по основным показателям (подп. 12.1 настоящего Инструмента) и по дополнительным показателям (подп. 12.2 настоящего Инструмента).</w:t>
      </w:r>
    </w:p>
    <w:p>
      <w:pPr>
        <w:pStyle w:val="14"/>
        <w:shd w:val="clear" w:color="auto" w:fill="auto"/>
        <w:rPr>
          <w:color w:val="auto"/>
          <w:highlight w:val="white"/>
        </w:rPr>
      </w:pPr>
      <w:r>
        <w:rPr>
          <w:color w:val="auto"/>
          <w:highlight w:val="white"/>
        </w:rPr>
        <w:t>Форма утверждения указанных плановых значений определяется Субъектом самостоятельно из вариантов:</w:t>
      </w:r>
    </w:p>
    <w:p>
      <w:pPr>
        <w:pStyle w:val="14"/>
        <w:numPr>
          <w:ilvl w:val="0"/>
          <w:numId w:val="121"/>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w:t>
      </w:r>
    </w:p>
    <w:p>
      <w:pPr>
        <w:pStyle w:val="14"/>
        <w:numPr>
          <w:ilvl w:val="0"/>
          <w:numId w:val="121"/>
        </w:numPr>
        <w:shd w:val="clear" w:color="auto" w:fill="auto"/>
        <w:spacing w:before="0" w:after="0"/>
        <w:ind w:hanging="425" w:left="425"/>
        <w:rPr>
          <w:color w:val="auto"/>
          <w:highlight w:val="white"/>
        </w:rPr>
      </w:pPr>
      <w:r>
        <w:rPr>
          <w:color w:val="auto"/>
          <w:highlight w:val="white"/>
        </w:rPr>
        <w:t>нормативно-правовой акт РОИВ-координатора;</w:t>
      </w:r>
    </w:p>
    <w:p>
      <w:pPr>
        <w:pStyle w:val="14"/>
        <w:numPr>
          <w:ilvl w:val="0"/>
          <w:numId w:val="121"/>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 входит в его компетенцию.</w:t>
      </w:r>
    </w:p>
    <w:p>
      <w:pPr>
        <w:pStyle w:val="14"/>
        <w:shd w:val="clear" w:color="auto" w:fill="auto"/>
        <w:rPr>
          <w:color w:val="auto"/>
        </w:rPr>
      </w:pPr>
      <w:r>
        <w:rPr>
          <w:color w:val="auto"/>
          <w:highlight w:val="white"/>
        </w:rPr>
        <w:t>15.</w:t>
        <w:tab/>
        <w:t>В рамках осуществления мониторинга реализации Региональной программы по достижению целей, показателей и результатов в части мероприятий, реализуемых в Субъекте, своевременного реагирования и принятия соответствующих мер по их исполнению в установленные сроки Субъекту необходимо обеспечить регулярное формирование и направление отчетов в РЭЦ с использованием Системы.</w:t>
      </w:r>
    </w:p>
    <w:p>
      <w:pPr>
        <w:pStyle w:val="14"/>
        <w:shd w:val="clear" w:color="auto" w:fill="auto"/>
        <w:spacing w:before="0" w:after="102"/>
        <w:rPr>
          <w:color w:val="auto"/>
          <w:highlight w:val="white"/>
        </w:rPr>
      </w:pPr>
      <w:r>
        <w:rPr>
          <w:color w:val="auto"/>
          <w:highlight w:val="white"/>
        </w:rPr>
        <w:t>16.</w:t>
        <w:tab/>
        <w:t>Субъекту рекомендуется обеспечить направление отчетности об исполнении Региональной программы в срок:</w:t>
      </w:r>
    </w:p>
    <w:p>
      <w:pPr>
        <w:pStyle w:val="14"/>
        <w:shd w:val="clear" w:color="auto" w:fill="auto"/>
        <w:spacing w:before="0" w:after="102"/>
        <w:rPr>
          <w:color w:val="auto"/>
          <w:highlight w:val="white"/>
        </w:rPr>
      </w:pPr>
      <w:r>
        <w:rPr>
          <w:color w:val="auto"/>
          <w:highlight w:val="white"/>
        </w:rPr>
        <w:t>16.1.</w:t>
        <w:tab/>
        <w:t>Не позднее 20 декабря отчетного года – предварительные итоги отчетного года (исполнение плановых значений, предусмотренных в соответствии с п. 14 настоящего Инструмента).</w:t>
      </w:r>
    </w:p>
    <w:p>
      <w:pPr>
        <w:pStyle w:val="14"/>
        <w:shd w:val="clear" w:color="auto" w:fill="auto"/>
        <w:spacing w:before="0" w:after="102"/>
        <w:rPr>
          <w:color w:val="auto"/>
          <w:highlight w:val="white"/>
        </w:rPr>
      </w:pPr>
      <w:r>
        <w:rPr>
          <w:color w:val="auto"/>
          <w:highlight w:val="white"/>
        </w:rPr>
        <w:t>16.2.</w:t>
        <w:tab/>
        <w:t>До 1 апреля года, следующего за отчетным годом, – итоги отчетного года (исполнение плановых значений за год, предусмотренных в соответствии с пп. 12 и 13 настоящего Инструмента).</w:t>
      </w:r>
    </w:p>
    <w:p>
      <w:pPr>
        <w:pStyle w:val="14"/>
        <w:shd w:val="clear" w:color="auto" w:fill="auto"/>
        <w:tabs>
          <w:tab w:val="clear" w:pos="709"/>
          <w:tab w:val="left" w:pos="425" w:leader="none"/>
        </w:tabs>
        <w:rPr>
          <w:color w:val="auto"/>
          <w:highlight w:val="white"/>
        </w:rPr>
      </w:pPr>
      <w:r>
        <w:rPr>
          <w:color w:val="auto"/>
          <w:highlight w:val="white"/>
        </w:rPr>
        <w:t>Форма утверждения отчета об исполнении Региональной программы в отчетном году определяется Субъектом самостоятельно из вариантов:</w:t>
      </w:r>
    </w:p>
    <w:p>
      <w:pPr>
        <w:pStyle w:val="14"/>
        <w:numPr>
          <w:ilvl w:val="0"/>
          <w:numId w:val="125"/>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w:t>
      </w:r>
    </w:p>
    <w:p>
      <w:pPr>
        <w:pStyle w:val="14"/>
        <w:numPr>
          <w:ilvl w:val="0"/>
          <w:numId w:val="125"/>
        </w:numPr>
        <w:shd w:val="clear" w:color="auto" w:fill="auto"/>
        <w:spacing w:before="0" w:after="0"/>
        <w:ind w:hanging="425" w:left="425"/>
        <w:rPr>
          <w:color w:val="auto"/>
          <w:highlight w:val="white"/>
        </w:rPr>
      </w:pPr>
      <w:r>
        <w:rPr>
          <w:color w:val="auto"/>
          <w:highlight w:val="white"/>
        </w:rPr>
        <w:t>нормативно-правовой акт РОИВ-координатора;</w:t>
      </w:r>
    </w:p>
    <w:p>
      <w:pPr>
        <w:pStyle w:val="14"/>
        <w:numPr>
          <w:ilvl w:val="0"/>
          <w:numId w:val="125"/>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 входит в его компетенцию.</w:t>
      </w:r>
    </w:p>
    <w:p>
      <w:pPr>
        <w:pStyle w:val="14"/>
        <w:shd w:val="clear" w:color="auto" w:fill="auto"/>
        <w:rPr>
          <w:color w:val="auto"/>
          <w:highlight w:val="white"/>
        </w:rPr>
      </w:pPr>
      <w:r>
        <w:rPr>
          <w:color w:val="auto"/>
          <w:highlight w:val="white"/>
        </w:rPr>
        <w:t>17.</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17.1.</w:t>
        <w:tab/>
        <w:t>Уровень 1:</w:t>
      </w:r>
    </w:p>
    <w:p>
      <w:pPr>
        <w:pStyle w:val="14"/>
        <w:shd w:val="clear" w:color="auto" w:fill="auto"/>
        <w:rPr>
          <w:color w:val="auto"/>
          <w:highlight w:val="white"/>
        </w:rPr>
      </w:pPr>
      <w:r>
        <w:rPr>
          <w:color w:val="auto"/>
          <w:highlight w:val="white"/>
        </w:rPr>
        <w:t>17.1.1.</w:t>
        <w:tab/>
        <w:t>В первый год внедрения:</w:t>
      </w:r>
    </w:p>
    <w:p>
      <w:pPr>
        <w:pStyle w:val="14"/>
        <w:numPr>
          <w:ilvl w:val="0"/>
          <w:numId w:val="88"/>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1"/>
        </w:numPr>
        <w:shd w:val="clear" w:color="auto" w:fill="auto"/>
        <w:spacing w:before="0" w:after="0"/>
        <w:ind w:hanging="425" w:left="425"/>
        <w:rPr>
          <w:color w:val="auto"/>
          <w:highlight w:val="white"/>
        </w:rPr>
      </w:pPr>
      <w:r>
        <w:rPr>
          <w:color w:val="auto"/>
          <w:highlight w:val="white"/>
        </w:rPr>
        <w:t>разработана (актуализирована) и утверждена Региональная программа, соответствующая Методическим рекомендациям РЭЦ;</w:t>
      </w:r>
    </w:p>
    <w:p>
      <w:pPr>
        <w:pStyle w:val="14"/>
        <w:numPr>
          <w:ilvl w:val="0"/>
          <w:numId w:val="21"/>
        </w:numPr>
        <w:shd w:val="clear" w:color="auto" w:fill="auto"/>
        <w:spacing w:before="0" w:after="0"/>
        <w:ind w:hanging="425" w:left="425"/>
        <w:rPr>
          <w:color w:val="auto"/>
          <w:highlight w:val="white"/>
        </w:rPr>
      </w:pPr>
      <w:r>
        <w:rPr>
          <w:color w:val="auto"/>
          <w:highlight w:val="white"/>
        </w:rPr>
        <w:t>предусмотрено необходимое финансирование в бюджете Субъекта на реализацию Региональной программы, либо запланированы мероприятия по согласованию и выделению финансирования в бюджете Субъекта на ее реализацию;</w:t>
      </w:r>
    </w:p>
    <w:p>
      <w:pPr>
        <w:pStyle w:val="14"/>
        <w:numPr>
          <w:ilvl w:val="0"/>
          <w:numId w:val="21"/>
        </w:numPr>
        <w:shd w:val="clear" w:color="auto" w:fill="auto"/>
        <w:ind w:hanging="425" w:left="425"/>
        <w:rPr>
          <w:color w:val="auto"/>
          <w:highlight w:val="white"/>
        </w:rPr>
      </w:pPr>
      <w:r>
        <w:rPr>
          <w:color w:val="auto"/>
        </w:rPr>
        <w:t>отчет о предварительных итогах отчетного года (подп. 16.1 настоящего Инструмента) представлен в Систему (согласован экспертом РЭЦ) до 20 декабря</w:t>
      </w:r>
      <w:r>
        <w:rPr>
          <w:color w:val="auto"/>
          <w:highlight w:val="white"/>
        </w:rPr>
        <w:t>.</w:t>
      </w:r>
    </w:p>
    <w:p>
      <w:pPr>
        <w:pStyle w:val="14"/>
        <w:shd w:val="clear" w:color="auto" w:fill="auto"/>
        <w:rPr>
          <w:color w:val="auto"/>
          <w:highlight w:val="white"/>
        </w:rPr>
      </w:pPr>
      <w:r>
        <w:rPr>
          <w:color w:val="auto"/>
          <w:highlight w:val="white"/>
        </w:rPr>
        <w:t>17.1.2.</w:t>
        <w:tab/>
        <w:t>Во второй год внедрения и далее:</w:t>
      </w:r>
    </w:p>
    <w:p>
      <w:pPr>
        <w:pStyle w:val="14"/>
        <w:numPr>
          <w:ilvl w:val="0"/>
          <w:numId w:val="89"/>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2"/>
        </w:numPr>
        <w:shd w:val="clear" w:color="auto" w:fill="auto"/>
        <w:spacing w:before="0" w:after="0"/>
        <w:ind w:hanging="425" w:left="425"/>
        <w:rPr>
          <w:color w:val="auto"/>
          <w:highlight w:val="white"/>
        </w:rPr>
      </w:pPr>
      <w:r>
        <w:rPr>
          <w:color w:val="auto"/>
          <w:highlight w:val="white"/>
        </w:rPr>
        <w:t>предусмотрено необходимое финансирование в бюджете Субъекта на реализацию Региональной программы;</w:t>
      </w:r>
    </w:p>
    <w:p>
      <w:pPr>
        <w:pStyle w:val="14"/>
        <w:numPr>
          <w:ilvl w:val="0"/>
          <w:numId w:val="22"/>
        </w:numPr>
        <w:shd w:val="clear" w:color="auto" w:fill="auto"/>
        <w:spacing w:before="0" w:after="0"/>
        <w:ind w:hanging="425" w:left="425"/>
        <w:rPr>
          <w:color w:val="auto"/>
          <w:highlight w:val="white"/>
        </w:rPr>
      </w:pPr>
      <w:r>
        <w:rPr>
          <w:color w:val="auto"/>
        </w:rPr>
        <w:t xml:space="preserve">отчет об итогах года, предшествующего отчетному году (подп. 16.2 настоящего Инструмента), представлен в Систему (согласован экспертом РЭЦ) до </w:t>
      </w:r>
      <w:r>
        <w:rPr>
          <w:color w:val="auto"/>
          <w:highlight w:val="white"/>
        </w:rPr>
        <w:t>1 апреля</w:t>
      </w:r>
      <w:r>
        <w:rPr>
          <w:color w:val="auto"/>
        </w:rPr>
        <w:t>;</w:t>
      </w:r>
    </w:p>
    <w:p>
      <w:pPr>
        <w:pStyle w:val="14"/>
        <w:numPr>
          <w:ilvl w:val="0"/>
          <w:numId w:val="22"/>
        </w:numPr>
        <w:shd w:val="clear" w:color="auto" w:fill="auto"/>
        <w:spacing w:before="0" w:after="0"/>
        <w:ind w:hanging="425" w:left="425"/>
        <w:rPr>
          <w:color w:val="auto"/>
          <w:highlight w:val="white"/>
        </w:rPr>
      </w:pPr>
      <w:r>
        <w:rPr>
          <w:color w:val="auto"/>
        </w:rPr>
        <w:t>отчет о предварительных итогах отчетного года (подп. 16.1 настоящего Инструмента) представлен в Систему (согласован экспертом РЭЦ) до 20 декабря;</w:t>
      </w:r>
    </w:p>
    <w:p>
      <w:pPr>
        <w:pStyle w:val="14"/>
        <w:numPr>
          <w:ilvl w:val="0"/>
          <w:numId w:val="22"/>
        </w:numPr>
        <w:shd w:val="clear" w:color="auto" w:fill="auto"/>
        <w:spacing w:before="0" w:after="0"/>
        <w:ind w:hanging="425" w:left="425"/>
        <w:rPr>
          <w:color w:val="auto"/>
          <w:highlight w:val="white"/>
        </w:rPr>
      </w:pPr>
      <w:r>
        <w:rPr>
          <w:color w:val="auto"/>
          <w:highlight w:val="white"/>
        </w:rPr>
        <w:t>каждый основной и дополнительный показатель, предусмотренный в соответствии с п. 14 настоящего Инструмента за период 9 месяцев отчетного года, исполнен полностью до 20 декабря отчетного года;</w:t>
      </w:r>
    </w:p>
    <w:p>
      <w:pPr>
        <w:pStyle w:val="14"/>
        <w:numPr>
          <w:ilvl w:val="0"/>
          <w:numId w:val="22"/>
        </w:numPr>
        <w:shd w:val="clear" w:color="auto" w:fill="auto"/>
        <w:ind w:hanging="425" w:left="425"/>
        <w:rPr>
          <w:color w:val="auto"/>
          <w:highlight w:val="white"/>
        </w:rPr>
      </w:pPr>
      <w:r>
        <w:rPr>
          <w:color w:val="auto"/>
          <w:highlight w:val="white"/>
        </w:rPr>
        <w:t>количество мероприятий, предусмотренных в рамках Региональной программы на отчетный год, выполнено не менее чем на 80% до 20 декабря отчетного года.</w:t>
      </w:r>
    </w:p>
    <w:p>
      <w:pPr>
        <w:pStyle w:val="14"/>
        <w:shd w:val="clear" w:color="auto" w:fill="auto"/>
        <w:rPr>
          <w:color w:val="auto"/>
          <w:highlight w:val="white"/>
        </w:rPr>
      </w:pPr>
      <w:r>
        <w:rPr>
          <w:color w:val="auto"/>
          <w:highlight w:val="white"/>
        </w:rPr>
        <w:t>17.2.</w:t>
        <w:tab/>
        <w:t>Уровень 2:</w:t>
      </w:r>
    </w:p>
    <w:p>
      <w:pPr>
        <w:pStyle w:val="14"/>
        <w:numPr>
          <w:ilvl w:val="0"/>
          <w:numId w:val="70"/>
        </w:numPr>
        <w:shd w:val="clear" w:color="auto" w:fill="auto"/>
        <w:spacing w:before="0" w:after="0"/>
        <w:ind w:hanging="425" w:left="425"/>
        <w:rPr>
          <w:color w:val="auto"/>
          <w:highlight w:val="white"/>
        </w:rPr>
      </w:pPr>
      <w:r>
        <w:rPr>
          <w:color w:val="auto"/>
          <w:highlight w:val="white"/>
        </w:rPr>
        <w:t>Региональная программа актуализирована не реже одного раза в три года;</w:t>
      </w:r>
    </w:p>
    <w:p>
      <w:pPr>
        <w:pStyle w:val="14"/>
        <w:numPr>
          <w:ilvl w:val="0"/>
          <w:numId w:val="70"/>
        </w:numPr>
        <w:shd w:val="clear" w:color="auto" w:fill="auto"/>
        <w:ind w:hanging="425" w:left="425"/>
        <w:rPr>
          <w:color w:val="auto"/>
          <w:highlight w:val="white"/>
        </w:rPr>
      </w:pPr>
      <w:r>
        <w:rPr>
          <w:color w:val="auto"/>
          <w:highlight w:val="white"/>
        </w:rPr>
        <w:t>каждый инициативный показатель (подп. 12.3 настоящего Инструмента)</w:t>
      </w:r>
      <w:r>
        <w:rPr>
          <w:color w:val="auto"/>
        </w:rPr>
        <w:t xml:space="preserve"> </w:t>
      </w:r>
      <w:r>
        <w:rPr>
          <w:color w:val="auto"/>
          <w:highlight w:val="white"/>
        </w:rPr>
        <w:t>и количество мероприятий, предусмотренные в рамках Региональной программы на отчетный год, выполнены не менее чем на 90% до 20 декабря отчетного года.</w:t>
      </w:r>
    </w:p>
    <w:p>
      <w:pPr>
        <w:sectPr>
          <w:headerReference w:type="even" r:id="rId20"/>
          <w:headerReference w:type="default" r:id="rId21"/>
          <w:headerReference w:type="first" r:id="rId22"/>
          <w:footnotePr>
            <w:numFmt w:val="decimal"/>
          </w:footnotePr>
          <w:type w:val="nextPage"/>
          <w:pgSz w:w="11906" w:h="16838"/>
          <w:pgMar w:left="1134" w:right="850" w:gutter="0" w:header="709" w:top="1134" w:footer="0" w:bottom="1134"/>
          <w:pgNumType w:fmt="decimal"/>
          <w:formProt w:val="false"/>
          <w:textDirection w:val="lrTb"/>
          <w:docGrid w:type="default" w:linePitch="360" w:charSpace="0"/>
        </w:sectPr>
        <w:pStyle w:val="14"/>
        <w:widowControl/>
        <w:shd w:val="clear" w:color="auto" w:fill="auto"/>
        <w:rPr>
          <w:color w:val="auto"/>
          <w:highlight w:val="white"/>
        </w:rPr>
      </w:pPr>
      <w:r>
        <w:rPr>
          <w:color w:val="auto"/>
          <w:highlight w:val="white"/>
        </w:rPr>
        <w:t>17.3.</w:t>
        <w:tab/>
        <w:t>Уровень 3: каждый инициативный показатель (подп. 12.3 настоящего Инструмента)</w:t>
      </w:r>
      <w:r>
        <w:rPr>
          <w:color w:val="auto"/>
        </w:rPr>
        <w:t xml:space="preserve"> </w:t>
      </w:r>
      <w:r>
        <w:rPr>
          <w:color w:val="auto"/>
          <w:highlight w:val="white"/>
        </w:rPr>
        <w:t>и количество мероприятий, предусмотренные в рамках Региональной программы на отчетный год, выполнены не менее чем на 100% до 20 декабря отчетного года.</w:t>
      </w:r>
    </w:p>
    <w:p>
      <w:pPr>
        <w:pStyle w:val="27"/>
        <w:keepNext w:val="true"/>
        <w:keepLines/>
        <w:shd w:val="clear" w:color="auto" w:fill="auto"/>
        <w:tabs>
          <w:tab w:val="clear" w:pos="709"/>
          <w:tab w:val="left" w:pos="303" w:leader="none"/>
        </w:tabs>
        <w:rPr>
          <w:color w:val="auto"/>
          <w:highlight w:val="white"/>
        </w:rPr>
      </w:pPr>
      <w:r>
        <w:rPr>
          <w:color w:val="auto"/>
          <w:highlight w:val="white"/>
        </w:rPr>
        <w:t>Инструмент 4. Обеспечение деятельности Экспортного совета при высшем должностном лице субъекта Российской Федерации</w:t>
      </w:r>
    </w:p>
    <w:p>
      <w:pPr>
        <w:pStyle w:val="14"/>
        <w:shd w:val="clear" w:color="auto" w:fill="auto"/>
        <w:spacing w:before="0" w:after="120"/>
        <w:rPr>
          <w:color w:val="auto"/>
          <w:highlight w:val="white"/>
        </w:rPr>
      </w:pPr>
      <w:r>
        <w:rPr>
          <w:color w:val="auto"/>
          <w:highlight w:val="white"/>
        </w:rPr>
        <w:t>1.</w:t>
        <w:tab/>
        <w:t>В Субъекте рекомендовано создать и обеспечивать деятельность Экспортного совета при высшем должностном лице Субъекта (далее – Совет), который будет функционировать на регулярной основе. Совет – экспертный совещательный координационный орган, в состав которого входят представители органов исполнительной власти Субъекта, РЭЦ, институтов развития, объектов инфраструктуры поддержки предпринимательства, ЦПЭ, общественных организаций и объединений предпринимателей, включая отраслевые союзы, действующих экспортеров и субъектов предпринимательства, планирующих осуществлять экспортную деятельность, из различных отраслей. Наименование Совета определяется Субъектом.</w:t>
      </w:r>
    </w:p>
    <w:p>
      <w:pPr>
        <w:pStyle w:val="14"/>
        <w:shd w:val="clear" w:color="auto" w:fill="auto"/>
        <w:spacing w:before="0" w:after="120"/>
        <w:rPr>
          <w:color w:val="auto"/>
          <w:highlight w:val="white"/>
        </w:rPr>
      </w:pPr>
      <w:r>
        <w:rPr>
          <w:color w:val="auto"/>
          <w:highlight w:val="white"/>
        </w:rPr>
        <w:t>2.</w:t>
        <w:tab/>
        <w:t>Председателем Совета необходимо определить высшее должностное лицо Субъекта. При этом в целях обеспечения объективной оценки со стороны получателей мер поддержки экспортных проектов заместителем председателя совета рекомендуется определить представителя предпринимательского сообщества, отбираемого на выборной основе в рамках установочного заседания Совета.</w:t>
      </w:r>
    </w:p>
    <w:p>
      <w:pPr>
        <w:pStyle w:val="14"/>
        <w:shd w:val="clear" w:color="auto" w:fill="auto"/>
        <w:spacing w:before="0" w:after="120"/>
        <w:rPr>
          <w:color w:val="auto"/>
          <w:highlight w:val="white"/>
        </w:rPr>
      </w:pPr>
      <w:r>
        <w:rPr>
          <w:color w:val="auto"/>
          <w:highlight w:val="white"/>
        </w:rPr>
        <w:t>3.</w:t>
        <w:tab/>
        <w:t>В компетенции Совета могут входить:</w:t>
      </w:r>
    </w:p>
    <w:p>
      <w:pPr>
        <w:pStyle w:val="14"/>
        <w:numPr>
          <w:ilvl w:val="0"/>
          <w:numId w:val="9"/>
        </w:numPr>
        <w:shd w:val="clear" w:color="auto" w:fill="auto"/>
        <w:spacing w:before="0" w:after="0"/>
        <w:ind w:hanging="425" w:left="425"/>
        <w:rPr>
          <w:color w:val="auto"/>
          <w:highlight w:val="white"/>
        </w:rPr>
      </w:pPr>
      <w:r>
        <w:rPr>
          <w:color w:val="auto"/>
          <w:highlight w:val="white"/>
        </w:rPr>
        <w:t>разработка предложений для включения в стратегию ВЭД Субъекта, Региональную программу и другие документы стратегического планирования Субъекта;</w:t>
      </w:r>
    </w:p>
    <w:p>
      <w:pPr>
        <w:pStyle w:val="14"/>
        <w:numPr>
          <w:ilvl w:val="0"/>
          <w:numId w:val="9"/>
        </w:numPr>
        <w:shd w:val="clear" w:color="auto" w:fill="auto"/>
        <w:spacing w:before="0" w:after="0"/>
        <w:ind w:hanging="425" w:left="425"/>
        <w:rPr>
          <w:color w:val="auto"/>
          <w:highlight w:val="white"/>
        </w:rPr>
      </w:pPr>
      <w:r>
        <w:rPr>
          <w:color w:val="auto"/>
          <w:highlight w:val="white"/>
        </w:rPr>
        <w:t>разработка рекомендаций по организации взаимодействия органов исполнительной власти Субъекта, действующих экспортеров и Организаций, планирующих осуществлять экспортную деятельность, зарегистрированных на территории Субъекта, и организаций, участвующих в поддержке и развитии экспортной деятельности в Субъекте;</w:t>
      </w:r>
    </w:p>
    <w:p>
      <w:pPr>
        <w:pStyle w:val="14"/>
        <w:numPr>
          <w:ilvl w:val="0"/>
          <w:numId w:val="9"/>
        </w:numPr>
        <w:shd w:val="clear" w:color="auto" w:fill="auto"/>
        <w:spacing w:before="0" w:after="0"/>
        <w:ind w:hanging="425" w:left="425"/>
        <w:rPr>
          <w:color w:val="auto"/>
          <w:highlight w:val="white"/>
        </w:rPr>
      </w:pPr>
      <w:r>
        <w:rPr>
          <w:color w:val="auto"/>
          <w:highlight w:val="white"/>
        </w:rPr>
        <w:t>выработка рекомендаций по вопросам совершенствования экспортной деятельности в приоритетных отраслях экономики Субъекта;</w:t>
      </w:r>
    </w:p>
    <w:p>
      <w:pPr>
        <w:pStyle w:val="14"/>
        <w:numPr>
          <w:ilvl w:val="0"/>
          <w:numId w:val="9"/>
        </w:numPr>
        <w:shd w:val="clear" w:color="auto" w:fill="auto"/>
        <w:spacing w:before="0" w:after="0"/>
        <w:ind w:hanging="425" w:left="425"/>
        <w:rPr>
          <w:color w:val="auto"/>
          <w:highlight w:val="white"/>
        </w:rPr>
      </w:pPr>
      <w:r>
        <w:rPr>
          <w:color w:val="auto"/>
          <w:highlight w:val="white"/>
        </w:rPr>
        <w:t>оценка состояния и определение направлений развития экспортного потенциала Субъекта;</w:t>
      </w:r>
    </w:p>
    <w:p>
      <w:pPr>
        <w:pStyle w:val="14"/>
        <w:numPr>
          <w:ilvl w:val="0"/>
          <w:numId w:val="9"/>
        </w:numPr>
        <w:shd w:val="clear" w:color="auto" w:fill="auto"/>
        <w:spacing w:before="0" w:after="0"/>
        <w:ind w:hanging="425" w:left="425"/>
        <w:rPr>
          <w:color w:val="auto"/>
          <w:highlight w:val="white"/>
        </w:rPr>
      </w:pPr>
      <w:r>
        <w:rPr>
          <w:color w:val="auto"/>
          <w:highlight w:val="white"/>
        </w:rPr>
        <w:t>разработка рекомендаций по выявлению и уменьшению административных барьеров и иных барьеров, препятствующих развитию экспортной деятельности Организаций, зарегистрированных в Субъекте;</w:t>
      </w:r>
    </w:p>
    <w:p>
      <w:pPr>
        <w:pStyle w:val="14"/>
        <w:numPr>
          <w:ilvl w:val="0"/>
          <w:numId w:val="9"/>
        </w:numPr>
        <w:shd w:val="clear" w:color="auto" w:fill="auto"/>
        <w:spacing w:before="0" w:after="0"/>
        <w:ind w:hanging="425" w:left="425"/>
        <w:rPr>
          <w:color w:val="auto"/>
          <w:highlight w:val="white"/>
        </w:rPr>
      </w:pPr>
      <w:r>
        <w:rPr>
          <w:color w:val="auto"/>
          <w:highlight w:val="white"/>
        </w:rPr>
        <w:t>разработка предложений по приоритетным направлениям осуществления экспортной деятельности Субъекта;</w:t>
      </w:r>
    </w:p>
    <w:p>
      <w:pPr>
        <w:pStyle w:val="14"/>
        <w:numPr>
          <w:ilvl w:val="0"/>
          <w:numId w:val="9"/>
        </w:numPr>
        <w:shd w:val="clear" w:color="auto" w:fill="auto"/>
        <w:spacing w:before="0" w:after="0"/>
        <w:ind w:hanging="425" w:left="425"/>
        <w:rPr>
          <w:color w:val="auto"/>
          <w:highlight w:val="white"/>
        </w:rPr>
      </w:pPr>
      <w:r>
        <w:rPr>
          <w:color w:val="auto"/>
          <w:highlight w:val="white"/>
        </w:rPr>
        <w:t>разработка рекомендаций по мерам государственной поддержки экспорта в Субъекте;</w:t>
      </w:r>
    </w:p>
    <w:p>
      <w:pPr>
        <w:pStyle w:val="14"/>
        <w:numPr>
          <w:ilvl w:val="0"/>
          <w:numId w:val="9"/>
        </w:numPr>
        <w:shd w:val="clear" w:color="auto" w:fill="auto"/>
        <w:spacing w:before="0" w:after="0"/>
        <w:ind w:hanging="425" w:left="425"/>
        <w:rPr>
          <w:color w:val="auto"/>
          <w:highlight w:val="white"/>
        </w:rPr>
      </w:pPr>
      <w:r>
        <w:rPr>
          <w:color w:val="auto"/>
          <w:highlight w:val="white"/>
        </w:rPr>
        <w:t>мониторинг реализации стратегии ВЭД</w:t>
      </w:r>
      <w:r>
        <w:rPr>
          <w:color w:val="auto"/>
        </w:rPr>
        <w:t xml:space="preserve">, </w:t>
      </w:r>
      <w:r>
        <w:rPr>
          <w:color w:val="auto"/>
          <w:highlight w:val="white"/>
        </w:rPr>
        <w:t>Региональной программы и других документов стратегического планирования Субъекта</w:t>
      </w:r>
      <w:r>
        <w:rPr>
          <w:color w:val="auto"/>
        </w:rPr>
        <w:t xml:space="preserve"> </w:t>
      </w:r>
      <w:r>
        <w:rPr>
          <w:color w:val="auto"/>
          <w:highlight w:val="white"/>
        </w:rPr>
        <w:t>(заслушивание и утверждение протоколом заседания Совета отчета о реализации);</w:t>
      </w:r>
    </w:p>
    <w:p>
      <w:pPr>
        <w:pStyle w:val="14"/>
        <w:numPr>
          <w:ilvl w:val="0"/>
          <w:numId w:val="9"/>
        </w:numPr>
        <w:shd w:val="clear" w:color="auto" w:fill="auto"/>
        <w:spacing w:before="0" w:after="102"/>
        <w:ind w:hanging="425" w:left="425"/>
        <w:rPr>
          <w:color w:val="auto"/>
          <w:highlight w:val="white"/>
        </w:rPr>
      </w:pPr>
      <w:r>
        <w:rPr>
          <w:color w:val="auto"/>
          <w:highlight w:val="white"/>
        </w:rPr>
        <w:t>выработка рекомендаций по популяризации экспортной деятельности среди экономически активного населения и молодежи в Субъекте с целью формирования и подготовки кадрового ресурса для развития экспортного потенциала Субъекта.</w:t>
      </w:r>
    </w:p>
    <w:p>
      <w:pPr>
        <w:pStyle w:val="14"/>
        <w:shd w:val="clear" w:color="auto" w:fill="auto"/>
        <w:jc w:val="left"/>
        <w:rPr>
          <w:color w:val="auto"/>
          <w:highlight w:val="white"/>
        </w:rPr>
      </w:pPr>
      <w:r>
        <w:rPr>
          <w:color w:val="auto"/>
          <w:highlight w:val="white"/>
        </w:rPr>
        <w:t>К компетенции Совета могут быть отнесены иные полномочия.</w:t>
      </w:r>
    </w:p>
    <w:p>
      <w:pPr>
        <w:pStyle w:val="14"/>
        <w:shd w:val="clear" w:color="auto" w:fill="auto"/>
        <w:rPr>
          <w:color w:val="auto"/>
          <w:highlight w:val="white"/>
        </w:rPr>
      </w:pPr>
      <w:r>
        <w:rPr>
          <w:color w:val="auto"/>
          <w:highlight w:val="white"/>
        </w:rPr>
        <w:t>4.</w:t>
        <w:tab/>
        <w:t>Положение о Совете, включая порядок его формирования, рекомендовано утверждать высшим должностным лицом Субъекта.</w:t>
      </w:r>
    </w:p>
    <w:p>
      <w:pPr>
        <w:pStyle w:val="14"/>
        <w:shd w:val="clear" w:color="auto" w:fill="auto"/>
        <w:rPr>
          <w:color w:val="auto"/>
          <w:highlight w:val="white"/>
        </w:rPr>
      </w:pPr>
      <w:r>
        <w:rPr>
          <w:color w:val="auto"/>
          <w:highlight w:val="white"/>
        </w:rPr>
        <w:t>5.</w:t>
        <w:tab/>
        <w:t>Совет рекомендовано собирать на заседания регулярно, не реже двух раз в год, в очной, очно-дистанционной (в режиме конференции) либо заочной форме участия его участников. Заседания Совета рекомендовано проводить публично, обеспечивая возможность личного участия в заседаниях, в том числе с выступлениями, действующих региональных экспортеров, не являющихся членами Совета, для рассмотрения реализуемых ими Экспортных проектов (проектов с экспортным потенциалом). Итоги заседаний Совета рекомендовано оформлять в виде протоколов и публиковать на информационном ресурсе, посвященном экспортной деятельности Субъекта.</w:t>
      </w:r>
    </w:p>
    <w:p>
      <w:pPr>
        <w:pStyle w:val="14"/>
        <w:shd w:val="clear" w:color="auto" w:fill="auto"/>
        <w:rPr>
          <w:color w:val="auto"/>
          <w:highlight w:val="white"/>
        </w:rPr>
      </w:pPr>
      <w:r>
        <w:rPr>
          <w:color w:val="auto"/>
          <w:highlight w:val="white"/>
        </w:rPr>
        <w:t>6.</w:t>
        <w:tab/>
        <w:t>В рамках каждого заседания Совета РОИВ-координатору рекомендовано представлять промежуточный отчет об исполнении мероприятий, утвержденных Региональной программой. Актуализацию плана мероприятий рекомендовано проводить ежегодно.</w:t>
      </w:r>
    </w:p>
    <w:p>
      <w:pPr>
        <w:pStyle w:val="14"/>
        <w:shd w:val="clear" w:color="auto" w:fill="auto"/>
        <w:rPr>
          <w:color w:val="auto"/>
          <w:highlight w:val="white"/>
        </w:rPr>
      </w:pPr>
      <w:r>
        <w:rPr>
          <w:color w:val="auto"/>
          <w:highlight w:val="white"/>
        </w:rPr>
        <w:t>7.</w:t>
        <w:tab/>
        <w:t>В рамках Совета могут быть созданы рабочие группы по отраслевым и другим направлениям, в том числе с участием представителей предпринимательского сообщества.</w:t>
      </w:r>
    </w:p>
    <w:p>
      <w:pPr>
        <w:pStyle w:val="14"/>
        <w:shd w:val="clear" w:color="auto" w:fill="auto"/>
        <w:rPr>
          <w:color w:val="auto"/>
          <w:highlight w:val="white"/>
        </w:rPr>
      </w:pPr>
      <w:r>
        <w:rPr>
          <w:color w:val="auto"/>
          <w:highlight w:val="white"/>
        </w:rPr>
        <w:t>8.</w:t>
        <w:tab/>
        <w:t>Функциями Совета может быть наделен уже существующий экспертный совещательный орган в случае его соответствия вышеуказанным рекомендациям.</w:t>
      </w:r>
    </w:p>
    <w:p>
      <w:pPr>
        <w:pStyle w:val="14"/>
        <w:shd w:val="clear" w:color="auto" w:fill="auto"/>
        <w:rPr>
          <w:color w:val="auto"/>
          <w:highlight w:val="white"/>
        </w:rPr>
      </w:pPr>
      <w:r>
        <w:rPr>
          <w:color w:val="auto"/>
          <w:highlight w:val="white"/>
        </w:rPr>
        <w:t>9.</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9.1.</w:t>
        <w:tab/>
        <w:t>Уровень 1:</w:t>
      </w:r>
    </w:p>
    <w:p>
      <w:pPr>
        <w:pStyle w:val="14"/>
        <w:numPr>
          <w:ilvl w:val="0"/>
          <w:numId w:val="90"/>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3"/>
        </w:numPr>
        <w:shd w:val="clear" w:color="auto" w:fill="auto"/>
        <w:spacing w:before="0" w:after="0"/>
        <w:ind w:hanging="425" w:left="425"/>
        <w:rPr>
          <w:color w:val="auto"/>
          <w:highlight w:val="white"/>
        </w:rPr>
      </w:pPr>
      <w:r>
        <w:rPr>
          <w:color w:val="auto"/>
          <w:highlight w:val="white"/>
        </w:rPr>
        <w:t>создан Экспортный совет;</w:t>
      </w:r>
    </w:p>
    <w:p>
      <w:pPr>
        <w:pStyle w:val="14"/>
        <w:numPr>
          <w:ilvl w:val="0"/>
          <w:numId w:val="24"/>
        </w:numPr>
        <w:shd w:val="clear" w:color="auto" w:fill="auto"/>
        <w:spacing w:before="0" w:after="102"/>
        <w:ind w:hanging="425" w:left="425"/>
        <w:rPr>
          <w:color w:val="auto"/>
          <w:highlight w:val="white"/>
        </w:rPr>
      </w:pPr>
      <w:r>
        <w:rPr>
          <w:color w:val="auto"/>
          <w:highlight w:val="white"/>
        </w:rPr>
        <w:t>проведено не менее 2 (двух) заседаний Экспортного совета.</w:t>
      </w:r>
    </w:p>
    <w:p>
      <w:pPr>
        <w:pStyle w:val="14"/>
        <w:shd w:val="clear" w:color="auto" w:fill="auto"/>
        <w:rPr>
          <w:color w:val="auto"/>
        </w:rPr>
      </w:pPr>
      <w:r>
        <w:rPr>
          <w:color w:val="auto"/>
          <w:highlight w:val="white"/>
        </w:rPr>
        <w:t>9.2.</w:t>
        <w:tab/>
        <w:t>Уровень 2:</w:t>
      </w:r>
      <w:r>
        <w:rPr>
          <w:color w:val="auto"/>
        </w:rPr>
        <w:t xml:space="preserve"> </w:t>
      </w:r>
      <w:r>
        <w:rPr>
          <w:color w:val="auto"/>
          <w:highlight w:val="white"/>
        </w:rPr>
        <w:t>проведено не менее 4 (четырех) заседаний Экспортного совета.</w:t>
      </w:r>
    </w:p>
    <w:p>
      <w:pPr>
        <w:sectPr>
          <w:headerReference w:type="even" r:id="rId23"/>
          <w:headerReference w:type="default" r:id="rId24"/>
          <w:headerReference w:type="first" r:id="rId25"/>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rPr>
        <w:t>9.3.</w:t>
        <w:tab/>
      </w:r>
      <w:r>
        <w:rPr>
          <w:color w:val="auto"/>
          <w:highlight w:val="white"/>
        </w:rPr>
        <w:t>Уровень 3:</w:t>
      </w:r>
      <w:r>
        <w:rPr>
          <w:color w:val="auto"/>
        </w:rPr>
        <w:t xml:space="preserve"> </w:t>
      </w:r>
      <w:r>
        <w:rPr>
          <w:color w:val="auto"/>
          <w:highlight w:val="white"/>
        </w:rPr>
        <w:t>не менее чем на двух очных заседаниях Экспортного совета рассмотрены экспортные проекты и проекты с экспортным потенциалом, реализуемые действующими региональными экспортерами (с выступлениями экспортеров).</w:t>
      </w:r>
    </w:p>
    <w:p>
      <w:pPr>
        <w:pStyle w:val="27"/>
        <w:keepNext w:val="true"/>
        <w:keepLines/>
        <w:shd w:val="clear" w:color="auto" w:fill="auto"/>
        <w:tabs>
          <w:tab w:val="clear" w:pos="709"/>
          <w:tab w:val="left" w:pos="347" w:leader="none"/>
        </w:tabs>
        <w:rPr>
          <w:color w:val="auto"/>
          <w:highlight w:val="white"/>
        </w:rPr>
      </w:pPr>
      <w:r>
        <w:rPr>
          <w:color w:val="auto"/>
          <w:highlight w:val="white"/>
        </w:rPr>
        <w:t>Инструмент 5. </w:t>
      </w:r>
      <w:bookmarkStart w:id="6" w:name="bookmark7"/>
      <w:r>
        <w:rPr>
          <w:color w:val="auto"/>
          <w:highlight w:val="white"/>
        </w:rPr>
        <w:t>Создание и обеспечение деятельности Центра поддержки экспорта</w:t>
      </w:r>
      <w:bookmarkEnd w:id="6"/>
    </w:p>
    <w:p>
      <w:pPr>
        <w:pStyle w:val="14"/>
        <w:shd w:val="clear" w:color="auto" w:fill="auto"/>
        <w:rPr>
          <w:color w:val="auto"/>
          <w:highlight w:val="white"/>
        </w:rPr>
      </w:pPr>
      <w:r>
        <w:rPr>
          <w:color w:val="auto"/>
          <w:highlight w:val="white"/>
        </w:rPr>
        <w:t>1.</w:t>
        <w:tab/>
        <w:t>В Субъекте рекомендовано создать и обеспечивать функционирование ЦПЭ с учетом рекомендаций, разработанных РЭЦ, и требований, утвержденных уполномоченным федеральным органом исполнительной власти согласно Федеральному закону от 24.07.2007 № 209-ФЗ «О развитии малого и среднего предпринимательства в Российской Федерации», требований, утвержденных Субъектом.</w:t>
      </w:r>
    </w:p>
    <w:p>
      <w:pPr>
        <w:pStyle w:val="14"/>
        <w:shd w:val="clear" w:color="auto" w:fill="auto"/>
        <w:rPr>
          <w:color w:val="auto"/>
          <w:highlight w:val="white"/>
        </w:rPr>
      </w:pPr>
      <w:r>
        <w:rPr>
          <w:color w:val="auto"/>
          <w:highlight w:val="white"/>
        </w:rPr>
        <w:t>2.</w:t>
        <w:tab/>
        <w:t>В случае обеспечения Субъектом осуществления деятельности ЦПЭ за счет ассигнований бюджета Субъекта и неиспользования в этих целях средств федерального бюджета указанный объект инфраструктуры в рамках своей деятельности руководствуется требованиями, предусмотренными нормативными правовыми актами Субъекта.</w:t>
      </w:r>
    </w:p>
    <w:p>
      <w:pPr>
        <w:pStyle w:val="14"/>
        <w:shd w:val="clear" w:color="auto" w:fill="auto"/>
        <w:rPr>
          <w:color w:val="auto"/>
          <w:highlight w:val="white"/>
        </w:rPr>
      </w:pPr>
      <w:r>
        <w:rPr>
          <w:color w:val="auto"/>
          <w:highlight w:val="white"/>
        </w:rPr>
        <w:t>3.</w:t>
        <w:tab/>
        <w:t>Субъекту с формирующимся экспортным потенциалом</w:t>
      </w:r>
      <w:r>
        <w:rPr>
          <w:rStyle w:val="FootnoteReference"/>
          <w:color w:val="auto"/>
          <w:highlight w:val="white"/>
        </w:rPr>
        <w:footnoteReference w:id="8"/>
      </w:r>
      <w:r>
        <w:rPr>
          <w:color w:val="auto"/>
          <w:highlight w:val="white"/>
        </w:rPr>
        <w:t xml:space="preserve"> рекомендовано обеспечить наличие специалиста, обладающего компетенциями по консультационной поддержке экспортеров, на базе другого действующего объекта инфраструктуры поддержки малого и среднего предпринимательства (далее – Выделенный специалист).</w:t>
      </w:r>
    </w:p>
    <w:p>
      <w:pPr>
        <w:pStyle w:val="14"/>
        <w:shd w:val="clear" w:color="auto" w:fill="auto"/>
        <w:rPr>
          <w:color w:val="auto"/>
          <w:highlight w:val="white"/>
        </w:rPr>
      </w:pPr>
      <w:r>
        <w:rPr>
          <w:color w:val="auto"/>
          <w:highlight w:val="white"/>
        </w:rPr>
        <w:t>4.</w:t>
        <w:tab/>
        <w:t>Субъекту рекомендовано обеспечить:</w:t>
      </w:r>
    </w:p>
    <w:p>
      <w:pPr>
        <w:pStyle w:val="14"/>
        <w:numPr>
          <w:ilvl w:val="0"/>
          <w:numId w:val="10"/>
        </w:numPr>
        <w:shd w:val="clear" w:color="auto" w:fill="auto"/>
        <w:spacing w:before="0" w:after="0"/>
        <w:ind w:hanging="425" w:left="425"/>
        <w:rPr>
          <w:color w:val="auto"/>
          <w:highlight w:val="white"/>
        </w:rPr>
      </w:pPr>
      <w:r>
        <w:rPr>
          <w:color w:val="auto"/>
          <w:highlight w:val="white"/>
        </w:rPr>
        <w:t>мотивационную составляющую фонда оплаты труда сотрудников ЦПЭ из средств регионального бюджета и внебюджетных источников в целях стимулирования выполнения показателей, установленных национальными проектами;</w:t>
      </w:r>
    </w:p>
    <w:p>
      <w:pPr>
        <w:pStyle w:val="14"/>
        <w:numPr>
          <w:ilvl w:val="0"/>
          <w:numId w:val="10"/>
        </w:numPr>
        <w:shd w:val="clear" w:color="auto" w:fill="auto"/>
        <w:spacing w:before="0" w:after="0"/>
        <w:ind w:hanging="425" w:left="425"/>
        <w:rPr>
          <w:color w:val="auto"/>
          <w:highlight w:val="white"/>
        </w:rPr>
      </w:pPr>
      <w:r>
        <w:rPr>
          <w:color w:val="auto"/>
          <w:highlight w:val="white"/>
        </w:rPr>
        <w:t>доведение главным распорядителем бюджетных средств Субъекта бюджетных средств отчетного года до ЦПЭ до 1 марта отчетного года (</w:t>
      </w:r>
      <w:r>
        <w:rPr>
          <w:color w:val="auto"/>
        </w:rPr>
        <w:t xml:space="preserve">в случае доведения средств федерального бюджета </w:t>
      </w:r>
      <w:r>
        <w:rPr>
          <w:color w:val="auto"/>
          <w:highlight w:val="white"/>
        </w:rPr>
        <w:t>уполномоченным федеральным органом исполнительной власти</w:t>
      </w:r>
      <w:r>
        <w:rPr>
          <w:color w:val="auto"/>
        </w:rPr>
        <w:t xml:space="preserve"> до Субъекта до 1 февраля отчетного года</w:t>
      </w:r>
      <w:r>
        <w:rPr>
          <w:color w:val="auto"/>
          <w:highlight w:val="white"/>
        </w:rPr>
        <w:t>);</w:t>
      </w:r>
    </w:p>
    <w:p>
      <w:pPr>
        <w:pStyle w:val="14"/>
        <w:numPr>
          <w:ilvl w:val="0"/>
          <w:numId w:val="10"/>
        </w:numPr>
        <w:shd w:val="clear" w:color="auto" w:fill="auto"/>
        <w:spacing w:before="0" w:after="0"/>
        <w:ind w:hanging="425" w:left="425"/>
        <w:rPr>
          <w:color w:val="auto"/>
          <w:highlight w:val="white"/>
        </w:rPr>
      </w:pPr>
      <w:r>
        <w:rPr>
          <w:color w:val="auto"/>
          <w:highlight w:val="white"/>
        </w:rPr>
        <w:t>полноценное функционирование ЦПЭ в I квартале года, следующего за отчетным, за счет обеспечения возможности расходования бюджетных средств (</w:t>
      </w:r>
      <w:r>
        <w:rPr>
          <w:color w:val="auto"/>
        </w:rPr>
        <w:t>за исключением средств федерального бюджета, выделяемых из резервного фонда Правительства Российской Федерации</w:t>
      </w:r>
      <w:r>
        <w:rPr>
          <w:color w:val="auto"/>
          <w:highlight w:val="white"/>
        </w:rPr>
        <w:t>) до 1 апреля года, следующего за отчетным;</w:t>
      </w:r>
    </w:p>
    <w:p>
      <w:pPr>
        <w:pStyle w:val="14"/>
        <w:numPr>
          <w:ilvl w:val="0"/>
          <w:numId w:val="10"/>
        </w:numPr>
        <w:shd w:val="clear" w:color="auto" w:fill="auto"/>
        <w:spacing w:before="0" w:after="0"/>
        <w:ind w:hanging="425" w:left="425"/>
        <w:rPr>
          <w:color w:val="auto"/>
          <w:highlight w:val="white"/>
        </w:rPr>
      </w:pPr>
      <w:r>
        <w:rPr>
          <w:color w:val="auto"/>
          <w:highlight w:val="white"/>
        </w:rPr>
        <w:t>направление отчетности о результатах деятельности ЦПЭ в РЭЦ на ежеквартальной основе для анализа с использованием ИС «1С»;</w:t>
      </w:r>
    </w:p>
    <w:p>
      <w:pPr>
        <w:pStyle w:val="14"/>
        <w:numPr>
          <w:ilvl w:val="0"/>
          <w:numId w:val="10"/>
        </w:numPr>
        <w:shd w:val="clear" w:color="auto" w:fill="auto"/>
        <w:spacing w:before="0" w:after="0"/>
        <w:ind w:hanging="425" w:left="425"/>
        <w:rPr>
          <w:color w:val="auto"/>
          <w:highlight w:val="white"/>
        </w:rPr>
      </w:pPr>
      <w:r>
        <w:rPr>
          <w:color w:val="auto"/>
          <w:highlight w:val="white"/>
        </w:rPr>
        <w:t>оказание ЦПЭ оцифрованных</w:t>
      </w:r>
      <w:r>
        <w:rPr>
          <w:rStyle w:val="FootnoteReference"/>
          <w:color w:val="auto"/>
          <w:highlight w:val="white"/>
        </w:rPr>
        <w:footnoteReference w:id="9"/>
      </w:r>
      <w:r>
        <w:rPr>
          <w:color w:val="auto"/>
          <w:highlight w:val="white"/>
        </w:rPr>
        <w:t xml:space="preserve"> услуг поддержки экспорта через ИС «Одно окно» в случае получения федерального софинансирования деятельности ЦПЭ;</w:t>
      </w:r>
    </w:p>
    <w:p>
      <w:pPr>
        <w:pStyle w:val="14"/>
        <w:numPr>
          <w:ilvl w:val="0"/>
          <w:numId w:val="10"/>
        </w:numPr>
        <w:shd w:val="clear" w:color="auto" w:fill="auto"/>
        <w:ind w:hanging="425" w:left="425"/>
        <w:rPr>
          <w:color w:val="auto"/>
          <w:highlight w:val="white"/>
        </w:rPr>
      </w:pPr>
      <w:r>
        <w:rPr>
          <w:color w:val="auto"/>
          <w:highlight w:val="white"/>
        </w:rPr>
        <w:t>привлечение региональных Организаций на услуги Группы РЭЦ, которые приводят к заключению экспортного контракта.</w:t>
      </w:r>
    </w:p>
    <w:p>
      <w:pPr>
        <w:pStyle w:val="14"/>
        <w:shd w:val="clear" w:color="auto" w:fill="auto"/>
        <w:rPr>
          <w:color w:val="auto"/>
          <w:highlight w:val="white"/>
        </w:rPr>
      </w:pPr>
      <w:r>
        <w:rPr>
          <w:color w:val="auto"/>
          <w:highlight w:val="white"/>
        </w:rPr>
        <w:t>5.</w:t>
        <w:tab/>
        <w:t>Кроме того, Субъекту рекомендуется наделить ЦПЭ (Выделенного специалиста) функциями поддержки экспорта следующих отраслей и предусмотреть выделение на данные цели бюджетных средств Субъекта в рамках региональных государственных программ (подпрограмм):</w:t>
      </w:r>
    </w:p>
    <w:p>
      <w:pPr>
        <w:pStyle w:val="14"/>
        <w:numPr>
          <w:ilvl w:val="0"/>
          <w:numId w:val="11"/>
        </w:numPr>
        <w:shd w:val="clear" w:color="auto" w:fill="auto"/>
        <w:spacing w:before="0" w:after="0"/>
        <w:ind w:hanging="425" w:left="425"/>
        <w:rPr>
          <w:color w:val="auto"/>
          <w:highlight w:val="white"/>
        </w:rPr>
      </w:pPr>
      <w:r>
        <w:rPr>
          <w:color w:val="auto"/>
          <w:highlight w:val="white"/>
        </w:rPr>
        <w:t>туристические услуги (въездной туризм);</w:t>
      </w:r>
    </w:p>
    <w:p>
      <w:pPr>
        <w:pStyle w:val="14"/>
        <w:numPr>
          <w:ilvl w:val="0"/>
          <w:numId w:val="11"/>
        </w:numPr>
        <w:shd w:val="clear" w:color="auto" w:fill="auto"/>
        <w:ind w:hanging="425" w:left="425"/>
        <w:rPr>
          <w:color w:val="auto"/>
          <w:highlight w:val="white"/>
        </w:rPr>
      </w:pPr>
      <w:r>
        <w:rPr>
          <w:color w:val="auto"/>
          <w:highlight w:val="white"/>
        </w:rPr>
        <w:t>креативные индустрии.</w:t>
      </w:r>
    </w:p>
    <w:p>
      <w:pPr>
        <w:pStyle w:val="14"/>
        <w:shd w:val="clear" w:color="auto" w:fill="auto"/>
        <w:rPr>
          <w:color w:val="auto"/>
          <w:highlight w:val="white"/>
        </w:rPr>
      </w:pPr>
      <w:r>
        <w:rPr>
          <w:color w:val="auto"/>
          <w:highlight w:val="white"/>
        </w:rPr>
        <w:t>6.</w:t>
        <w:tab/>
        <w:t>Целесообразно также наделить ЦПЭ функцией агента Правительства Субъекта по распределению прямых мер поддержки экспортерам и экспортно ориентированным Организациям, связанных с развитием их экспортной деятельности, в случае их наличия в Субъекте.</w:t>
      </w:r>
    </w:p>
    <w:p>
      <w:pPr>
        <w:pStyle w:val="14"/>
        <w:shd w:val="clear" w:color="auto" w:fill="auto"/>
        <w:rPr>
          <w:color w:val="auto"/>
          <w:highlight w:val="white"/>
        </w:rPr>
      </w:pPr>
      <w:r>
        <w:rPr>
          <w:color w:val="auto"/>
          <w:highlight w:val="white"/>
        </w:rPr>
        <w:t>7.</w:t>
        <w:tab/>
        <w:t>Субъекту рекомендовано ежегодно устанавливать показатели эффективности деятельности ЦПЭ (Выделенного специалиста):</w:t>
      </w:r>
    </w:p>
    <w:p>
      <w:pPr>
        <w:pStyle w:val="14"/>
        <w:shd w:val="clear" w:color="auto" w:fill="auto"/>
        <w:ind w:hanging="425" w:left="425"/>
        <w:rPr>
          <w:color w:val="auto"/>
          <w:highlight w:val="white"/>
        </w:rPr>
      </w:pPr>
      <w:r>
        <w:rPr>
          <w:color w:val="auto"/>
          <w:highlight w:val="white"/>
        </w:rPr>
        <w:t>7.1.</w:t>
        <w:tab/>
        <w:t>Основные показатели:</w:t>
      </w:r>
    </w:p>
    <w:p>
      <w:pPr>
        <w:pStyle w:val="14"/>
        <w:numPr>
          <w:ilvl w:val="0"/>
          <w:numId w:val="13"/>
        </w:numPr>
        <w:shd w:val="clear" w:color="auto" w:fill="auto"/>
        <w:spacing w:before="0" w:after="0"/>
        <w:ind w:hanging="425" w:left="425"/>
        <w:rPr>
          <w:color w:val="auto"/>
          <w:highlight w:val="white"/>
        </w:rPr>
      </w:pPr>
      <w:r>
        <w:rPr>
          <w:color w:val="auto"/>
          <w:highlight w:val="white"/>
        </w:rPr>
        <w:t xml:space="preserve">количество СМСП, получивших услуги ЦПЭ </w:t>
      </w:r>
      <w:r>
        <w:rPr>
          <w:color w:val="auto"/>
        </w:rPr>
        <w:t>и (или) РЭЦ и его дочерних организаций при содействии ЦПЭ</w:t>
      </w:r>
      <w:r>
        <w:rPr>
          <w:color w:val="auto"/>
          <w:highlight w:val="white"/>
        </w:rPr>
        <w:t xml:space="preserve">, </w:t>
      </w:r>
      <w:r>
        <w:rPr>
          <w:color w:val="auto"/>
        </w:rPr>
        <w:t>которые могут привести к заключению и (или) реализации экспортного контракта</w:t>
      </w:r>
      <w:r>
        <w:rPr>
          <w:color w:val="auto"/>
          <w:highlight w:val="white"/>
        </w:rPr>
        <w:t>;</w:t>
      </w:r>
    </w:p>
    <w:p>
      <w:pPr>
        <w:pStyle w:val="14"/>
        <w:numPr>
          <w:ilvl w:val="0"/>
          <w:numId w:val="13"/>
        </w:numPr>
        <w:shd w:val="clear" w:color="auto" w:fill="auto"/>
        <w:spacing w:before="0" w:after="0"/>
        <w:ind w:hanging="425" w:left="425"/>
        <w:rPr>
          <w:color w:val="auto"/>
          <w:highlight w:val="white"/>
        </w:rPr>
      </w:pPr>
      <w:r>
        <w:rPr>
          <w:color w:val="auto"/>
          <w:highlight w:val="white"/>
        </w:rPr>
        <w:t>количество СМСП, заключивших экспортные контракты и (или) осуществивших экспорт товаров (работ, услуг)</w:t>
      </w:r>
      <w:r>
        <w:rPr>
          <w:color w:val="auto"/>
        </w:rPr>
        <w:t xml:space="preserve"> </w:t>
      </w:r>
      <w:r>
        <w:rPr>
          <w:color w:val="auto"/>
          <w:highlight w:val="white"/>
        </w:rPr>
        <w:t xml:space="preserve">по итогам полученных услуг ЦПЭ и (или) РЭЦ </w:t>
      </w:r>
      <w:r>
        <w:rPr>
          <w:color w:val="auto"/>
        </w:rPr>
        <w:t xml:space="preserve">и его дочерних организаций </w:t>
      </w:r>
      <w:r>
        <w:rPr>
          <w:color w:val="auto"/>
          <w:highlight w:val="white"/>
        </w:rPr>
        <w:t>при участии ЦПЭ;</w:t>
      </w:r>
    </w:p>
    <w:p>
      <w:pPr>
        <w:pStyle w:val="14"/>
        <w:numPr>
          <w:ilvl w:val="0"/>
          <w:numId w:val="13"/>
        </w:numPr>
        <w:shd w:val="clear" w:color="auto" w:fill="auto"/>
        <w:spacing w:before="0" w:after="0"/>
        <w:ind w:hanging="425" w:left="425"/>
        <w:rPr>
          <w:color w:val="auto"/>
        </w:rPr>
      </w:pPr>
      <w:r>
        <w:rPr>
          <w:color w:val="auto"/>
          <w:highlight w:val="white"/>
        </w:rPr>
        <w:t xml:space="preserve">объем </w:t>
      </w:r>
      <w:r>
        <w:rPr>
          <w:color w:val="auto"/>
        </w:rPr>
        <w:t xml:space="preserve">поддержанного </w:t>
      </w:r>
      <w:r>
        <w:rPr>
          <w:color w:val="auto"/>
          <w:highlight w:val="white"/>
        </w:rPr>
        <w:t xml:space="preserve">экспорта СМСП по итогам поддержки ЦПЭ </w:t>
      </w:r>
      <w:r>
        <w:rPr>
          <w:color w:val="auto"/>
        </w:rPr>
        <w:t>(услуг ЦПЭ и (или) РЭЦ и его дочерних организаций при содействии ЦПЭ);</w:t>
      </w:r>
    </w:p>
    <w:p>
      <w:pPr>
        <w:pStyle w:val="14"/>
        <w:numPr>
          <w:ilvl w:val="0"/>
          <w:numId w:val="13"/>
        </w:numPr>
        <w:shd w:val="clear" w:color="auto" w:fill="auto"/>
        <w:ind w:hanging="425" w:left="425"/>
        <w:rPr>
          <w:color w:val="auto"/>
          <w:highlight w:val="white"/>
        </w:rPr>
      </w:pPr>
      <w:r>
        <w:rPr>
          <w:color w:val="auto"/>
        </w:rPr>
        <w:t xml:space="preserve">количество СМСП, </w:t>
      </w:r>
      <w:bookmarkStart w:id="7" w:name="undefined"/>
      <w:r>
        <w:rPr>
          <w:color w:val="auto"/>
        </w:rPr>
        <w:t>вовлеченных в экспортную деятельность в результате проведения мероприятий ЦПЭ, включая региональный конкурс «Экспортер года», конгрессные мероприятия</w:t>
      </w:r>
      <w:bookmarkEnd w:id="7"/>
      <w:r>
        <w:rPr>
          <w:color w:val="auto"/>
          <w:highlight w:val="white"/>
        </w:rPr>
        <w:t>.</w:t>
      </w:r>
    </w:p>
    <w:p>
      <w:pPr>
        <w:pStyle w:val="14"/>
        <w:shd w:val="clear" w:color="auto" w:fill="auto"/>
        <w:ind w:hanging="425" w:left="425"/>
        <w:rPr>
          <w:color w:val="auto"/>
          <w:highlight w:val="white"/>
        </w:rPr>
      </w:pPr>
      <w:r>
        <w:rPr>
          <w:color w:val="auto"/>
          <w:highlight w:val="white"/>
        </w:rPr>
        <w:t>7.2.</w:t>
        <w:tab/>
        <w:t>Дополнительные показатели, влияющие на уровень внедрения Инструмента:</w:t>
      </w:r>
    </w:p>
    <w:p>
      <w:pPr>
        <w:pStyle w:val="14"/>
        <w:numPr>
          <w:ilvl w:val="0"/>
          <w:numId w:val="14"/>
        </w:numPr>
        <w:shd w:val="clear" w:color="auto" w:fill="auto"/>
        <w:spacing w:before="0" w:after="0"/>
        <w:ind w:hanging="425" w:left="425"/>
        <w:rPr>
          <w:color w:val="auto"/>
          <w:highlight w:val="white"/>
        </w:rPr>
      </w:pPr>
      <w:r>
        <w:rPr>
          <w:color w:val="auto"/>
          <w:highlight w:val="white"/>
        </w:rPr>
        <w:t>количество СМСП, впервые заключивших экспортный контракт;</w:t>
      </w:r>
    </w:p>
    <w:p>
      <w:pPr>
        <w:pStyle w:val="14"/>
        <w:numPr>
          <w:ilvl w:val="0"/>
          <w:numId w:val="14"/>
        </w:numPr>
        <w:shd w:val="clear" w:color="auto" w:fill="auto"/>
        <w:spacing w:before="0" w:after="0"/>
        <w:ind w:hanging="425" w:left="425"/>
        <w:rPr>
          <w:color w:val="auto"/>
          <w:highlight w:val="white"/>
        </w:rPr>
      </w:pPr>
      <w:r>
        <w:rPr>
          <w:color w:val="auto"/>
          <w:highlight w:val="white"/>
        </w:rPr>
        <w:t>количество стран, в которые осуществляются экспортные поставки СМСП при поддержке ЦПЭ;</w:t>
      </w:r>
    </w:p>
    <w:p>
      <w:pPr>
        <w:pStyle w:val="14"/>
        <w:numPr>
          <w:ilvl w:val="0"/>
          <w:numId w:val="14"/>
        </w:numPr>
        <w:shd w:val="clear" w:color="auto" w:fill="auto"/>
        <w:spacing w:before="0" w:after="0"/>
        <w:ind w:hanging="425" w:left="425"/>
        <w:rPr>
          <w:color w:val="auto"/>
          <w:highlight w:val="white"/>
        </w:rPr>
      </w:pPr>
      <w:r>
        <w:rPr>
          <w:color w:val="auto"/>
          <w:highlight w:val="white"/>
        </w:rPr>
        <w:t>количество Организаций, привлеченных на услуги Группы РЭЦ</w:t>
      </w:r>
      <w:r>
        <w:rPr>
          <w:color w:val="auto"/>
        </w:rPr>
        <w:t>, которые могут привести к заключению и (или) реализации экспортного контракта</w:t>
      </w:r>
      <w:r>
        <w:rPr>
          <w:color w:val="auto"/>
          <w:highlight w:val="white"/>
        </w:rPr>
        <w:t>;</w:t>
      </w:r>
    </w:p>
    <w:p>
      <w:pPr>
        <w:pStyle w:val="14"/>
        <w:numPr>
          <w:ilvl w:val="0"/>
          <w:numId w:val="14"/>
        </w:numPr>
        <w:shd w:val="clear" w:color="auto" w:fill="auto"/>
        <w:spacing w:before="0" w:after="0"/>
        <w:ind w:hanging="425" w:left="425"/>
        <w:rPr>
          <w:color w:val="auto"/>
          <w:highlight w:val="white"/>
        </w:rPr>
      </w:pPr>
      <w:r>
        <w:rPr>
          <w:color w:val="auto"/>
          <w:highlight w:val="white"/>
        </w:rPr>
        <w:t>доля услуг ЦПЭ, предоставленных Организациям посредством ИС «Одно окно», в общем количестве оцифрованных услуг ЦПЭ, предоставленных в отчетном периоде;</w:t>
      </w:r>
    </w:p>
    <w:p>
      <w:pPr>
        <w:pStyle w:val="14"/>
        <w:numPr>
          <w:ilvl w:val="0"/>
          <w:numId w:val="14"/>
        </w:numPr>
        <w:shd w:val="clear" w:color="auto" w:fill="auto"/>
        <w:ind w:hanging="425" w:left="425"/>
        <w:rPr>
          <w:color w:val="auto"/>
          <w:highlight w:val="white"/>
        </w:rPr>
      </w:pPr>
      <w:r>
        <w:rPr>
          <w:color w:val="auto"/>
          <w:highlight w:val="white"/>
        </w:rPr>
        <w:t>объем средств, привлеченных ЦПЭ из внебюджетных источников финансирования.</w:t>
      </w:r>
    </w:p>
    <w:p>
      <w:pPr>
        <w:pStyle w:val="14"/>
        <w:shd w:val="clear" w:color="auto" w:fill="auto"/>
        <w:rPr>
          <w:color w:val="auto"/>
          <w:highlight w:val="white"/>
        </w:rPr>
      </w:pPr>
      <w:r>
        <w:rPr>
          <w:color w:val="auto"/>
          <w:highlight w:val="white"/>
        </w:rPr>
        <w:t>По усмотрению Субъекта могут быть установлены иные дополнительные показатели эффективности деятельности ЦПЭ (Выделенного специалиста).</w:t>
      </w:r>
    </w:p>
    <w:p>
      <w:pPr>
        <w:pStyle w:val="14"/>
        <w:shd w:val="clear" w:color="auto" w:fill="auto"/>
        <w:rPr>
          <w:color w:val="auto"/>
          <w:highlight w:val="white"/>
        </w:rPr>
      </w:pPr>
      <w:r>
        <w:rPr>
          <w:color w:val="auto"/>
          <w:highlight w:val="white"/>
        </w:rPr>
        <w:t>8.</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8.1.</w:t>
        <w:tab/>
        <w:t xml:space="preserve">Уровень 1: </w:t>
      </w:r>
    </w:p>
    <w:p>
      <w:pPr>
        <w:pStyle w:val="14"/>
        <w:shd w:val="clear" w:color="auto" w:fill="auto"/>
        <w:rPr>
          <w:color w:val="auto"/>
          <w:highlight w:val="white"/>
        </w:rPr>
      </w:pPr>
      <w:r>
        <w:rPr>
          <w:color w:val="auto"/>
          <w:highlight w:val="white"/>
        </w:rPr>
        <w:t>8.1.1.</w:t>
        <w:tab/>
        <w:t>В первый год внедрения:</w:t>
      </w:r>
    </w:p>
    <w:p>
      <w:pPr>
        <w:pStyle w:val="14"/>
        <w:numPr>
          <w:ilvl w:val="0"/>
          <w:numId w:val="91"/>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5"/>
        </w:numPr>
        <w:shd w:val="clear" w:color="auto" w:fill="auto"/>
        <w:spacing w:before="0" w:after="0"/>
        <w:ind w:hanging="425" w:left="425"/>
        <w:rPr>
          <w:color w:val="auto"/>
          <w:highlight w:val="white"/>
        </w:rPr>
      </w:pPr>
      <w:r>
        <w:rPr>
          <w:color w:val="auto"/>
          <w:highlight w:val="white"/>
        </w:rPr>
        <w:t>в Субъекте создан ЦПЭ (определен Выделенный специалист);</w:t>
      </w:r>
    </w:p>
    <w:p>
      <w:pPr>
        <w:pStyle w:val="14"/>
        <w:numPr>
          <w:ilvl w:val="0"/>
          <w:numId w:val="25"/>
        </w:numPr>
        <w:shd w:val="clear" w:color="auto" w:fill="auto"/>
        <w:ind w:hanging="425" w:left="425"/>
        <w:rPr>
          <w:color w:val="auto"/>
          <w:highlight w:val="white"/>
        </w:rPr>
      </w:pPr>
      <w:r>
        <w:rPr>
          <w:color w:val="auto"/>
          <w:highlight w:val="white"/>
        </w:rPr>
        <w:t>отчетность о результатах деятельности ЦПЭ (Выделенного специалиста) направляется в РЭЦ на ежеквартальной основе для анализа в ИС «1С».</w:t>
      </w:r>
    </w:p>
    <w:p>
      <w:pPr>
        <w:pStyle w:val="14"/>
        <w:shd w:val="clear" w:color="auto" w:fill="auto"/>
        <w:rPr>
          <w:color w:val="auto"/>
          <w:highlight w:val="white"/>
        </w:rPr>
      </w:pPr>
      <w:r>
        <w:rPr>
          <w:color w:val="auto"/>
          <w:highlight w:val="white"/>
        </w:rPr>
        <w:t>8.1.2.</w:t>
        <w:tab/>
        <w:t>Во второй год внедрения и далее:</w:t>
      </w:r>
    </w:p>
    <w:p>
      <w:pPr>
        <w:pStyle w:val="14"/>
        <w:numPr>
          <w:ilvl w:val="0"/>
          <w:numId w:val="92"/>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6"/>
        </w:numPr>
        <w:shd w:val="clear" w:color="auto" w:fill="auto"/>
        <w:spacing w:before="0" w:after="0"/>
        <w:ind w:hanging="425" w:left="425"/>
        <w:rPr>
          <w:color w:val="auto"/>
          <w:highlight w:val="white"/>
        </w:rPr>
      </w:pPr>
      <w:r>
        <w:rPr>
          <w:color w:val="auto"/>
          <w:highlight w:val="white"/>
        </w:rPr>
        <w:t>каждый основной показатель эффективности деятельности ЦПЭ (Выделенного специалиста), утвержденные на отчетный год, выполнен не менее чем на 60% до 1 декабря отчетного года (подтверждены РЭЦ в ИС «1С»);</w:t>
      </w:r>
    </w:p>
    <w:p>
      <w:pPr>
        <w:pStyle w:val="14"/>
        <w:numPr>
          <w:ilvl w:val="0"/>
          <w:numId w:val="26"/>
        </w:numPr>
        <w:shd w:val="clear" w:color="auto" w:fill="auto"/>
        <w:ind w:hanging="425" w:left="425"/>
        <w:rPr>
          <w:color w:val="auto"/>
          <w:highlight w:val="white"/>
        </w:rPr>
      </w:pPr>
      <w:r>
        <w:rPr>
          <w:color w:val="auto"/>
          <w:highlight w:val="white"/>
        </w:rPr>
        <w:t>дополнительный показатель «Доля услуг ЦПЭ, предоставленных Организациям посредством ИС «Одно окно», в общем количестве оцифрованных услуг ЦПЭ, предоставленных в отчетном периоде» выполнен на 100% относительно плана и составляет не менее чем 30% в 2026 г., 60% – в 2027 г., 80% – в 2028 г., далее – не менее 100% (при наличии федерального софинансирования деятельности ЦПЭ или софинансирования части затрат Субъектов на реализацию экспортно ориентированных проектов, предусмотренных в рамках региональных программ в отчетном году) до 1 декабря отчетного года.</w:t>
      </w:r>
    </w:p>
    <w:p>
      <w:pPr>
        <w:pStyle w:val="14"/>
        <w:shd w:val="clear" w:color="auto" w:fill="auto"/>
        <w:rPr>
          <w:color w:val="auto"/>
          <w:highlight w:val="white"/>
        </w:rPr>
      </w:pPr>
      <w:r>
        <w:rPr>
          <w:color w:val="auto"/>
          <w:highlight w:val="white"/>
        </w:rPr>
        <w:t>8.2.</w:t>
        <w:tab/>
        <w:t>Уровень 2:</w:t>
      </w:r>
    </w:p>
    <w:p>
      <w:pPr>
        <w:pStyle w:val="14"/>
        <w:numPr>
          <w:ilvl w:val="0"/>
          <w:numId w:val="67"/>
        </w:numPr>
        <w:shd w:val="clear" w:color="auto" w:fill="auto"/>
        <w:spacing w:before="0" w:after="0"/>
        <w:ind w:hanging="425" w:left="425"/>
        <w:rPr>
          <w:color w:val="auto"/>
          <w:highlight w:val="white"/>
        </w:rPr>
      </w:pPr>
      <w:r>
        <w:rPr>
          <w:color w:val="auto"/>
          <w:highlight w:val="white"/>
        </w:rPr>
        <w:t>ЦПЭ создан как самостоятельное юридическое лицо, специализированное только на поддержке экспорта в Субъекте;</w:t>
      </w:r>
    </w:p>
    <w:p>
      <w:pPr>
        <w:pStyle w:val="14"/>
        <w:numPr>
          <w:ilvl w:val="0"/>
          <w:numId w:val="65"/>
        </w:numPr>
        <w:shd w:val="clear" w:color="auto" w:fill="auto"/>
        <w:spacing w:before="0" w:after="0"/>
        <w:ind w:hanging="425" w:left="425"/>
        <w:rPr>
          <w:color w:val="auto"/>
          <w:highlight w:val="white"/>
        </w:rPr>
      </w:pPr>
      <w:r>
        <w:rPr>
          <w:color w:val="auto"/>
          <w:highlight w:val="white"/>
        </w:rPr>
        <w:t xml:space="preserve">обеспечено доведение главным распорядителем бюджетных средств Субъекта бюджетных средств отчетного года до ЦПЭ до 1 марта отчетного года </w:t>
      </w:r>
      <w:r>
        <w:rPr>
          <w:color w:val="auto"/>
        </w:rPr>
        <w:t xml:space="preserve">(в случае доведения средств федерального бюджета </w:t>
      </w:r>
      <w:r>
        <w:rPr>
          <w:color w:val="auto"/>
          <w:highlight w:val="white"/>
        </w:rPr>
        <w:t>уполномоченным федеральным органом исполнительной власти</w:t>
      </w:r>
      <w:r>
        <w:rPr>
          <w:color w:val="auto"/>
        </w:rPr>
        <w:t xml:space="preserve"> до субъектов Российской Федерации до 1 февраля отчетного года)</w:t>
      </w:r>
      <w:r>
        <w:rPr>
          <w:color w:val="auto"/>
          <w:highlight w:val="white"/>
        </w:rPr>
        <w:t>;</w:t>
      </w:r>
    </w:p>
    <w:p>
      <w:pPr>
        <w:pStyle w:val="14"/>
        <w:numPr>
          <w:ilvl w:val="0"/>
          <w:numId w:val="27"/>
        </w:numPr>
        <w:shd w:val="clear" w:color="auto" w:fill="auto"/>
        <w:spacing w:before="0" w:after="0"/>
        <w:ind w:hanging="425" w:left="425"/>
        <w:rPr>
          <w:color w:val="auto"/>
          <w:highlight w:val="white"/>
        </w:rPr>
      </w:pPr>
      <w:r>
        <w:rPr>
          <w:color w:val="auto"/>
          <w:highlight w:val="white"/>
        </w:rPr>
        <w:t xml:space="preserve">ЦПЭ наделен функцией агента Правительства Субъекта по распределению прямых мер поддержки экспортерам и экспортно ориентированным Организациям </w:t>
      </w:r>
      <w:r>
        <w:rPr>
          <w:color w:val="auto"/>
        </w:rPr>
        <w:t>(при их наличии)</w:t>
      </w:r>
      <w:r>
        <w:rPr>
          <w:color w:val="auto"/>
          <w:highlight w:val="white"/>
        </w:rPr>
        <w:t>;</w:t>
      </w:r>
    </w:p>
    <w:p>
      <w:pPr>
        <w:pStyle w:val="14"/>
        <w:numPr>
          <w:ilvl w:val="0"/>
          <w:numId w:val="27"/>
        </w:numPr>
        <w:shd w:val="clear" w:color="auto" w:fill="auto"/>
        <w:spacing w:before="0" w:after="102"/>
        <w:ind w:hanging="425" w:left="425"/>
        <w:rPr>
          <w:color w:val="auto"/>
          <w:highlight w:val="white"/>
        </w:rPr>
      </w:pPr>
      <w:r>
        <w:rPr>
          <w:color w:val="auto"/>
          <w:highlight w:val="white"/>
        </w:rPr>
        <w:t xml:space="preserve">каждый основной и дополнительный показатель эффективности деятельности ЦПЭ (Выделенного специалиста), утвержденные на отчетный год, выполнены не менее чем на 100% до 1 декабря отчетного года (подтверждены РЭЦ в ИС «1С»), в том числе дополнительный показатель «Доля услуг ЦПЭ, предоставленных Организациям посредством ИС «Одно окно», в общем количестве оцифрованных услуг ЦПЭ, предоставленных в отчетном периоде» составляет не менее чем 30% в 2026 г., </w:t>
      </w:r>
      <w:r>
        <w:rPr>
          <w:color w:val="auto"/>
          <w:highlight w:val="white"/>
        </w:rPr>
        <w:br w:type="textWrapping" w:clear="all"/>
      </w:r>
      <w:r>
        <w:rPr>
          <w:color w:val="auto"/>
          <w:highlight w:val="white"/>
        </w:rPr>
        <w:t>60% – в 2027 г., 80% – в 2028 г., далее – не менее 100% (независимо от наличия федерального софинансирования деятельности ЦПЭ).</w:t>
      </w:r>
    </w:p>
    <w:p>
      <w:pPr>
        <w:pStyle w:val="14"/>
        <w:shd w:val="clear" w:color="auto" w:fill="auto"/>
        <w:rPr>
          <w:color w:val="auto"/>
          <w:highlight w:val="white"/>
        </w:rPr>
      </w:pPr>
      <w:r>
        <w:rPr>
          <w:color w:val="auto"/>
          <w:highlight w:val="white"/>
        </w:rPr>
        <w:t>8.3.</w:t>
        <w:tab/>
        <w:t xml:space="preserve">Уровень 3: </w:t>
      </w:r>
    </w:p>
    <w:p>
      <w:pPr>
        <w:pStyle w:val="14"/>
        <w:numPr>
          <w:ilvl w:val="0"/>
          <w:numId w:val="28"/>
        </w:numPr>
        <w:shd w:val="clear" w:color="auto" w:fill="auto"/>
        <w:spacing w:before="0" w:after="0"/>
        <w:ind w:hanging="425" w:left="425"/>
        <w:rPr>
          <w:color w:val="auto"/>
          <w:highlight w:val="white"/>
        </w:rPr>
      </w:pPr>
      <w:r>
        <w:rPr>
          <w:color w:val="auto"/>
          <w:highlight w:val="white"/>
        </w:rPr>
        <w:t xml:space="preserve">каждый основной и дополнительный показатели эффективности деятельности ЦПЭ (Выделенного специалиста), утвержденные на отчетный год, выполнены более чем на 100% до 1 декабря отчетного года (подтверждены РЭЦ в ИС «1С»), в том числе дополнительный показатель «Доля услуг ЦПЭ, предоставленных Организациям посредством ИС «Одно окно», в общем количестве оцифрованных услуг ЦПЭ, предоставленных в отчетном периоде» составляет не менее чем 40% в 2026 г., 70% – в 2027 г., 90% – в 2028 г., </w:t>
      </w:r>
      <w:r>
        <w:rPr>
          <w:color w:val="auto"/>
          <w:highlight w:val="white"/>
        </w:rPr>
        <w:br w:type="textWrapping" w:clear="all"/>
      </w:r>
      <w:r>
        <w:rPr>
          <w:color w:val="auto"/>
          <w:highlight w:val="white"/>
        </w:rPr>
        <w:t>далее – не менее 100% (независимо от наличия федерального софинансирования деятельности ЦПЭ);</w:t>
      </w:r>
    </w:p>
    <w:p>
      <w:pPr>
        <w:pStyle w:val="14"/>
        <w:numPr>
          <w:ilvl w:val="0"/>
          <w:numId w:val="82"/>
        </w:numPr>
        <w:spacing w:before="0" w:after="0"/>
        <w:ind w:hanging="425" w:left="425"/>
        <w:rPr>
          <w:color w:val="auto"/>
        </w:rPr>
      </w:pPr>
      <w:r>
        <w:rPr>
          <w:color w:val="auto"/>
        </w:rPr>
        <w:t>в отчетном году из средств бюджета Субъекта на финансирование деятельности ЦПЭ выделено не менее:</w:t>
      </w:r>
    </w:p>
    <w:p>
      <w:pPr>
        <w:pStyle w:val="14"/>
        <w:numPr>
          <w:ilvl w:val="0"/>
          <w:numId w:val="83"/>
        </w:numPr>
        <w:spacing w:before="0" w:after="0"/>
        <w:ind w:hanging="360" w:left="850"/>
        <w:rPr>
          <w:color w:val="auto"/>
        </w:rPr>
      </w:pPr>
      <w:r>
        <w:rPr>
          <w:color w:val="auto"/>
        </w:rPr>
        <w:t>10 млн руб. - для регионов, относящихся к 1-й группе;</w:t>
      </w:r>
    </w:p>
    <w:p>
      <w:pPr>
        <w:pStyle w:val="14"/>
        <w:numPr>
          <w:ilvl w:val="0"/>
          <w:numId w:val="83"/>
        </w:numPr>
        <w:spacing w:before="0" w:after="0"/>
        <w:ind w:hanging="360" w:left="850"/>
        <w:rPr>
          <w:color w:val="auto"/>
        </w:rPr>
      </w:pPr>
      <w:r>
        <w:rPr>
          <w:color w:val="auto"/>
        </w:rPr>
        <w:t>20 млн руб. - для регионов, относящихся к 2-й группе;</w:t>
      </w:r>
    </w:p>
    <w:p>
      <w:pPr>
        <w:pStyle w:val="14"/>
        <w:numPr>
          <w:ilvl w:val="0"/>
          <w:numId w:val="83"/>
        </w:numPr>
        <w:spacing w:before="0" w:after="0"/>
        <w:ind w:hanging="360" w:left="850"/>
        <w:rPr>
          <w:color w:val="auto"/>
        </w:rPr>
      </w:pPr>
      <w:r>
        <w:rPr>
          <w:color w:val="auto"/>
        </w:rPr>
        <w:t>30 млн руб. - для регионов, относящихся к 3-й группе;</w:t>
      </w:r>
    </w:p>
    <w:p>
      <w:pPr>
        <w:pStyle w:val="14"/>
        <w:numPr>
          <w:ilvl w:val="0"/>
          <w:numId w:val="83"/>
        </w:numPr>
        <w:spacing w:before="0" w:after="0"/>
        <w:ind w:hanging="360" w:left="850"/>
        <w:rPr>
          <w:color w:val="auto"/>
        </w:rPr>
      </w:pPr>
      <w:r>
        <w:rPr>
          <w:color w:val="auto"/>
        </w:rPr>
        <w:t xml:space="preserve">40 млн руб. - для регионов, относящихся к 4-й группе; </w:t>
      </w:r>
    </w:p>
    <w:p>
      <w:pPr>
        <w:pStyle w:val="14"/>
        <w:numPr>
          <w:ilvl w:val="0"/>
          <w:numId w:val="83"/>
        </w:numPr>
        <w:shd w:val="clear" w:color="auto" w:fill="auto"/>
        <w:spacing w:before="0" w:after="0"/>
        <w:ind w:hanging="360" w:left="850"/>
        <w:rPr>
          <w:color w:val="auto"/>
          <w:highlight w:val="white"/>
        </w:rPr>
      </w:pPr>
      <w:r>
        <w:rPr>
          <w:color w:val="auto"/>
        </w:rPr>
        <w:t>50 млн руб. - для регионов, относящихся к 5-й группе;</w:t>
      </w:r>
    </w:p>
    <w:p>
      <w:pPr>
        <w:pStyle w:val="14"/>
        <w:numPr>
          <w:ilvl w:val="0"/>
          <w:numId w:val="28"/>
        </w:numPr>
        <w:shd w:val="clear" w:color="auto" w:fill="auto"/>
        <w:spacing w:before="0" w:after="0"/>
        <w:ind w:hanging="425" w:left="425"/>
        <w:rPr>
          <w:color w:val="auto"/>
          <w:highlight w:val="white"/>
        </w:rPr>
      </w:pPr>
      <w:r>
        <w:rPr>
          <w:color w:val="auto"/>
          <w:highlight w:val="white"/>
        </w:rPr>
        <w:t>ЦПЭ наделен полномочиями по развитию экспорта креативных индустрий и въездного туризма;</w:t>
      </w:r>
    </w:p>
    <w:p>
      <w:pPr>
        <w:pStyle w:val="14"/>
        <w:numPr>
          <w:ilvl w:val="0"/>
          <w:numId w:val="28"/>
        </w:numPr>
        <w:shd w:val="clear" w:color="auto" w:fill="auto"/>
        <w:spacing w:before="0" w:after="0"/>
        <w:ind w:hanging="425" w:left="425"/>
        <w:rPr>
          <w:color w:val="auto"/>
          <w:highlight w:val="white"/>
        </w:rPr>
      </w:pPr>
      <w:r>
        <w:rPr>
          <w:color w:val="auto"/>
          <w:highlight w:val="white"/>
        </w:rPr>
        <w:t>ЦПЭ (Выделенный специалист) Субъекта в году, предшествующему отчетному году, занимал в рейтинге ЦПЭ, составляемом РЭЦ, позицию не ниже 27.</w:t>
      </w:r>
    </w:p>
    <w:p>
      <w:pPr>
        <w:sectPr>
          <w:headerReference w:type="even" r:id="rId26"/>
          <w:headerReference w:type="default" r:id="rId27"/>
          <w:headerReference w:type="first" r:id="rId28"/>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27"/>
        <w:keepNext w:val="true"/>
        <w:keepLines/>
        <w:shd w:val="clear" w:color="auto" w:fill="auto"/>
        <w:tabs>
          <w:tab w:val="clear" w:pos="709"/>
          <w:tab w:val="left" w:pos="303" w:leader="none"/>
        </w:tabs>
        <w:rPr>
          <w:color w:val="auto"/>
          <w:highlight w:val="white"/>
        </w:rPr>
      </w:pPr>
      <w:r>
        <w:rPr>
          <w:color w:val="auto"/>
          <w:highlight w:val="white"/>
        </w:rPr>
        <w:t>Инструмент 6. </w:t>
      </w:r>
      <w:bookmarkStart w:id="8" w:name="bookmark8"/>
      <w:r>
        <w:rPr>
          <w:color w:val="auto"/>
          <w:highlight w:val="white"/>
        </w:rPr>
        <w:t>Формирование и анализ базы экспортеров и базы потенциальных экспортеров в субъекте Российской Федерации и проведение экспортного аудита</w:t>
      </w:r>
      <w:bookmarkEnd w:id="8"/>
    </w:p>
    <w:p>
      <w:pPr>
        <w:pStyle w:val="14"/>
        <w:shd w:val="clear" w:color="auto" w:fill="auto"/>
        <w:rPr>
          <w:color w:val="auto"/>
          <w:highlight w:val="white"/>
        </w:rPr>
      </w:pPr>
      <w:r>
        <w:rPr>
          <w:color w:val="auto"/>
          <w:highlight w:val="white"/>
        </w:rPr>
        <w:t>1.</w:t>
        <w:tab/>
        <w:t>В Субъекте необходимо обеспечить проведение системной работы по выявлению действующих и потенциальных экспортеров (Организации, чья продукция востребована на внешних рынках), определению их готовности к выходу на экспорт, определению потребностей в поддержке и барьеров для роста, формированию и ежегодному обновлению базы (реестра) экспортеров товаров, а также потенциальных экспортеров.</w:t>
      </w:r>
    </w:p>
    <w:p>
      <w:pPr>
        <w:pStyle w:val="14"/>
        <w:shd w:val="clear" w:color="auto" w:fill="auto"/>
        <w:rPr>
          <w:color w:val="auto"/>
          <w:highlight w:val="white"/>
        </w:rPr>
      </w:pPr>
      <w:r>
        <w:rPr>
          <w:color w:val="auto"/>
          <w:highlight w:val="white"/>
        </w:rPr>
        <w:t>2.</w:t>
        <w:tab/>
        <w:t>Для идентификации действующих экспортеров рекомендуется использовать сведения из базы данных Федеральной таможенной службы, базы данных Федеральной налоговой службы, базы данных Почты России по Субъектам, а также базы данных Центрального банка Российской Федерации, реестр «Цербер» ИС «ВетИС» Россельхознадзора и другие официальные источники на ежегодной основе.</w:t>
      </w:r>
    </w:p>
    <w:p>
      <w:pPr>
        <w:pStyle w:val="14"/>
        <w:shd w:val="clear" w:color="auto" w:fill="auto"/>
        <w:rPr>
          <w:color w:val="auto"/>
          <w:highlight w:val="white"/>
        </w:rPr>
      </w:pPr>
      <w:r>
        <w:rPr>
          <w:color w:val="auto"/>
          <w:highlight w:val="white"/>
        </w:rPr>
        <w:t>Субъект может получать информацию об экспорте и экспортерах от обладателей такой информации по запросам, в рамках заключенных соглашений об информационном взаимодействии либо направленных в Субъект в инициативном порядке, а также иными способами, не противоречащими действующему российскому законодательству.</w:t>
      </w:r>
    </w:p>
    <w:p>
      <w:pPr>
        <w:pStyle w:val="14"/>
        <w:shd w:val="clear" w:color="auto" w:fill="auto"/>
        <w:rPr>
          <w:color w:val="auto"/>
          <w:highlight w:val="white"/>
        </w:rPr>
      </w:pPr>
      <w:r>
        <w:rPr>
          <w:color w:val="auto"/>
          <w:highlight w:val="white"/>
        </w:rPr>
        <w:t>Обеспечение доступа Субъектов к статистической информации об экспорте товаров также может осуществляться в следующем порядке:</w:t>
      </w:r>
    </w:p>
    <w:p>
      <w:pPr>
        <w:pStyle w:val="14"/>
        <w:numPr>
          <w:ilvl w:val="0"/>
          <w:numId w:val="76"/>
        </w:numPr>
        <w:shd w:val="clear" w:color="auto" w:fill="auto"/>
        <w:spacing w:before="0" w:after="0"/>
        <w:ind w:hanging="425" w:left="425"/>
        <w:rPr>
          <w:color w:val="auto"/>
          <w:highlight w:val="white"/>
        </w:rPr>
      </w:pPr>
      <w:r>
        <w:rPr>
          <w:color w:val="auto"/>
          <w:highlight w:val="white"/>
        </w:rPr>
        <w:t>ФТС России передает в РЭЦ данные, необходимые для формирования аналитических отчетов;</w:t>
      </w:r>
    </w:p>
    <w:p>
      <w:pPr>
        <w:pStyle w:val="14"/>
        <w:numPr>
          <w:ilvl w:val="0"/>
          <w:numId w:val="76"/>
        </w:numPr>
        <w:shd w:val="clear" w:color="auto" w:fill="auto"/>
        <w:spacing w:before="0" w:after="0"/>
        <w:ind w:hanging="425" w:left="425"/>
        <w:rPr>
          <w:color w:val="auto"/>
          <w:highlight w:val="white"/>
        </w:rPr>
      </w:pPr>
      <w:r>
        <w:rPr>
          <w:color w:val="auto"/>
          <w:highlight w:val="white"/>
        </w:rPr>
        <w:t>РЭЦ проводит подготовку аналитических отчетов в интересах Субъектов;</w:t>
      </w:r>
    </w:p>
    <w:p>
      <w:pPr>
        <w:pStyle w:val="14"/>
        <w:numPr>
          <w:ilvl w:val="0"/>
          <w:numId w:val="76"/>
        </w:numPr>
        <w:shd w:val="clear" w:color="auto" w:fill="auto"/>
        <w:ind w:hanging="425" w:left="425"/>
        <w:rPr>
          <w:color w:val="auto"/>
          <w:highlight w:val="white"/>
        </w:rPr>
      </w:pPr>
      <w:r>
        <w:rPr>
          <w:color w:val="auto"/>
          <w:highlight w:val="white"/>
        </w:rPr>
        <w:t>РЭЦ направляет в адрес Субъекта аналитические отчеты ежеквартально, не позднее 60-го дня после отчетного периода, с грифом «Для служебного пользования».</w:t>
      </w:r>
    </w:p>
    <w:p>
      <w:pPr>
        <w:pStyle w:val="14"/>
        <w:shd w:val="clear" w:color="auto" w:fill="auto"/>
        <w:rPr>
          <w:color w:val="auto"/>
          <w:highlight w:val="white"/>
        </w:rPr>
      </w:pPr>
      <w:r>
        <w:rPr>
          <w:color w:val="auto"/>
          <w:highlight w:val="white"/>
        </w:rPr>
        <w:t>3.</w:t>
        <w:tab/>
        <w:t xml:space="preserve">Для идентификации потенциальных экспортеров, чья продукция конкурентоспособна </w:t>
      </w:r>
      <w:r>
        <w:rPr>
          <w:color w:val="auto"/>
          <w:highlight w:val="white"/>
        </w:rPr>
        <w:br w:type="textWrapping" w:clear="all"/>
      </w:r>
      <w:r>
        <w:rPr>
          <w:color w:val="auto"/>
          <w:highlight w:val="white"/>
        </w:rPr>
        <w:t>на иностранных рынках, в регионе целесообразно определить методику отнесения Организаций к категории потенциальных экспортеров с учетом региональной отраслевой специализации и приоритетов в развитии экспорта. В соответствии с разработанной методикой произвести выборку Организаций потенциальных экспортеров из общего числа Организаций, зарегистрированных в Субъекте, на ежегодной основе с использованием любых достоверных источников (открытых, закрытых, ведомственных, коммерческих и пр.).</w:t>
      </w:r>
    </w:p>
    <w:p>
      <w:pPr>
        <w:pStyle w:val="14"/>
        <w:shd w:val="clear" w:color="auto" w:fill="auto"/>
        <w:rPr>
          <w:color w:val="auto"/>
          <w:highlight w:val="white"/>
        </w:rPr>
      </w:pPr>
      <w:r>
        <w:rPr>
          <w:color w:val="auto"/>
          <w:highlight w:val="white"/>
        </w:rPr>
        <w:t>При формировании реестра экспортеров и потенциальных экспортеров Субъекта целесообразно ориентироваться на успешный региональный опыт, обобщенный в Сборнике лучших практик</w:t>
      </w:r>
      <w:r>
        <w:rPr>
          <w:rStyle w:val="FootnoteReference"/>
          <w:color w:val="auto"/>
          <w:highlight w:val="white"/>
        </w:rPr>
        <w:footnoteReference w:id="10"/>
      </w:r>
      <w:r>
        <w:rPr>
          <w:color w:val="auto"/>
          <w:highlight w:val="white"/>
        </w:rPr>
        <w:t>.</w:t>
      </w:r>
    </w:p>
    <w:p>
      <w:pPr>
        <w:pStyle w:val="14"/>
        <w:shd w:val="clear" w:color="auto" w:fill="auto"/>
        <w:rPr>
          <w:color w:val="auto"/>
          <w:highlight w:val="white"/>
        </w:rPr>
      </w:pPr>
      <w:r>
        <w:rPr>
          <w:color w:val="auto"/>
          <w:highlight w:val="white"/>
        </w:rPr>
        <w:t>4.</w:t>
        <w:tab/>
        <w:t>В рамках работы с указанным реестром рекомендуется на ежегодной основе проводить анализ (аудит) не менее 10% Организаций в части определения этапа жизненного цикла экспортного проекта (проектов) для экспортеров, степени готовности к выходу на экспорт или увеличению объема экспорта, а также анализ потребностей Организаций в мерах поддержки и барьерах, препятствующих выходу на внешние рынки.</w:t>
      </w:r>
    </w:p>
    <w:p>
      <w:pPr>
        <w:pStyle w:val="14"/>
        <w:shd w:val="clear" w:color="auto" w:fill="auto"/>
        <w:rPr>
          <w:color w:val="auto"/>
          <w:highlight w:val="white"/>
        </w:rPr>
      </w:pPr>
      <w:r>
        <w:rPr>
          <w:color w:val="auto"/>
          <w:highlight w:val="white"/>
        </w:rPr>
        <w:t>5.</w:t>
        <w:tab/>
        <w:t>По результатам анализа рекомендуется провести работу по обеспечению доступа к специализированным инструментам поддержки, в том числе представленным в настоящем Стандарте, а также провести работу на региональном уровне по устранению барьеров с учетом Стратегии ВЭД региона.</w:t>
      </w:r>
    </w:p>
    <w:p>
      <w:pPr>
        <w:pStyle w:val="14"/>
        <w:shd w:val="clear" w:color="auto" w:fill="auto"/>
        <w:rPr>
          <w:color w:val="auto"/>
          <w:highlight w:val="white"/>
        </w:rPr>
      </w:pPr>
      <w:r>
        <w:rPr>
          <w:color w:val="auto"/>
          <w:highlight w:val="white"/>
        </w:rPr>
        <w:t>В случае если на региональном уровне отсутствуют необходимые меры поддержки для реализации экспортного проекта и/или устранить барьеры на региональном уровне не представляется возможным, необходимо направить соответствующую информацию в адрес профильного федерального органа исполнительной власти, а также в адрес РЭЦ.</w:t>
      </w:r>
    </w:p>
    <w:p>
      <w:pPr>
        <w:pStyle w:val="14"/>
        <w:shd w:val="clear" w:color="auto" w:fill="auto"/>
        <w:spacing w:before="0" w:after="102"/>
        <w:rPr>
          <w:color w:val="auto"/>
          <w:highlight w:val="white"/>
        </w:rPr>
      </w:pPr>
      <w:r>
        <w:rPr>
          <w:color w:val="auto"/>
          <w:highlight w:val="white"/>
        </w:rPr>
        <w:t>6.</w:t>
        <w:tab/>
        <w:t>В рамках реализации Стратегии ВЭД и исполнения Региональной программы Субъекту рекомендовано обеспечить регулярное проведение отраслевых исследований (тип 1), направленных на совершенствование набора мер поддержки экспорта и повышения их эффективности с учетом потребностей ключевых экспортеров-производителей, развивающих экспорт или готовых развивать/наращивать экспортные продажи, и перспективных быстрорастущих компаний – потенциальных экспортеров (далее – БРК). Указанные отраслевые исследования могут включать в том числе:</w:t>
      </w:r>
    </w:p>
    <w:p>
      <w:pPr>
        <w:pStyle w:val="14"/>
        <w:shd w:val="clear" w:color="auto" w:fill="auto"/>
        <w:rPr>
          <w:color w:val="auto"/>
          <w:highlight w:val="white"/>
        </w:rPr>
      </w:pPr>
      <w:r>
        <w:rPr>
          <w:color w:val="auto"/>
          <w:highlight w:val="white"/>
        </w:rPr>
        <w:t>а)</w:t>
        <w:tab/>
        <w:t>исследования, направленные на выявление точек роста экспорта (новый экспорт) на уровне ключевых экспортных Организаций и БРК, их продуктов в соответствии с продуктовыми и страновыми приоритетами региона;</w:t>
      </w:r>
    </w:p>
    <w:p>
      <w:pPr>
        <w:pStyle w:val="14"/>
        <w:shd w:val="clear" w:color="auto" w:fill="auto"/>
        <w:rPr>
          <w:color w:val="auto"/>
          <w:highlight w:val="white"/>
        </w:rPr>
      </w:pPr>
      <w:r>
        <w:rPr>
          <w:color w:val="auto"/>
          <w:highlight w:val="white"/>
        </w:rPr>
        <w:t>б)</w:t>
        <w:tab/>
        <w:t>определение и описание потребностей в части развития экспорта выявленных ключевых производителей-экспортеров и БРК, их анализ и оценка, формирование отчетов и предложений по удовлетворению определенных потребностей;</w:t>
      </w:r>
    </w:p>
    <w:p>
      <w:pPr>
        <w:pStyle w:val="14"/>
        <w:shd w:val="clear" w:color="auto" w:fill="auto"/>
        <w:rPr>
          <w:color w:val="auto"/>
          <w:highlight w:val="white"/>
        </w:rPr>
      </w:pPr>
      <w:r>
        <w:rPr>
          <w:color w:val="auto"/>
          <w:highlight w:val="white"/>
        </w:rPr>
        <w:t>в)</w:t>
        <w:tab/>
        <w:t>сопоставление ключевых экспортных продуктов (перспективных экспортных продуктов) выявленных ключевых производителей-экспортеров и БРК Субъекта с направлениями экспорта аналогичной продукции (страны, товары, Организации) как из России в целом, так и из близлежащих регионов;</w:t>
      </w:r>
    </w:p>
    <w:p>
      <w:pPr>
        <w:pStyle w:val="14"/>
        <w:shd w:val="clear" w:color="auto" w:fill="auto"/>
        <w:rPr>
          <w:color w:val="auto"/>
          <w:highlight w:val="white"/>
        </w:rPr>
      </w:pPr>
      <w:r>
        <w:rPr>
          <w:color w:val="auto"/>
          <w:highlight w:val="white"/>
        </w:rPr>
        <w:t>г)</w:t>
        <w:tab/>
        <w:t>выработка рекомендаций и предложений по способам выделения экспортеров в Субъектах на фоне конкурирующих компаний, зарегистрированных в других регионах России, предлагающих на экспорт аналогичные товары, по управлению преимуществами продукта, которые позволят обратить внимание потенциальных иностранных покупателей и побудить к покупке:</w:t>
      </w:r>
    </w:p>
    <w:p>
      <w:pPr>
        <w:pStyle w:val="14"/>
        <w:numPr>
          <w:ilvl w:val="0"/>
          <w:numId w:val="77"/>
        </w:numPr>
        <w:shd w:val="clear" w:color="auto" w:fill="auto"/>
        <w:ind w:hanging="425" w:left="425"/>
        <w:rPr>
          <w:color w:val="auto"/>
          <w:highlight w:val="white"/>
        </w:rPr>
      </w:pPr>
      <w:r>
        <w:rPr>
          <w:color w:val="auto"/>
          <w:highlight w:val="white"/>
        </w:rPr>
        <w:t>бренд (включая, но не ограничиваясь использованием национального бренда «Сделано в России» и регионального зонтичного бренда);</w:t>
      </w:r>
    </w:p>
    <w:p>
      <w:pPr>
        <w:pStyle w:val="14"/>
        <w:numPr>
          <w:ilvl w:val="0"/>
          <w:numId w:val="77"/>
        </w:numPr>
        <w:shd w:val="clear" w:color="auto" w:fill="auto"/>
        <w:ind w:hanging="425" w:left="425"/>
        <w:rPr>
          <w:color w:val="auto"/>
          <w:highlight w:val="white"/>
        </w:rPr>
      </w:pPr>
      <w:r>
        <w:rPr>
          <w:color w:val="auto"/>
          <w:highlight w:val="white"/>
        </w:rPr>
        <w:t>качество (свойства и преимущества товара, которые конкуренты не могут предложить или о которых не заявляют, включая, но не ограничиваясь использованием добровольной сертификации «Сделано в России»);</w:t>
      </w:r>
    </w:p>
    <w:p>
      <w:pPr>
        <w:pStyle w:val="14"/>
        <w:numPr>
          <w:ilvl w:val="0"/>
          <w:numId w:val="77"/>
        </w:numPr>
        <w:shd w:val="clear" w:color="auto" w:fill="auto"/>
        <w:ind w:hanging="425" w:left="425"/>
        <w:rPr>
          <w:color w:val="auto"/>
          <w:highlight w:val="white"/>
        </w:rPr>
      </w:pPr>
      <w:r>
        <w:rPr>
          <w:color w:val="auto"/>
          <w:highlight w:val="white"/>
        </w:rPr>
        <w:t>особенности организации производства, сервиса покупателей и бизнеса в целом;</w:t>
      </w:r>
    </w:p>
    <w:p>
      <w:pPr>
        <w:pStyle w:val="14"/>
        <w:shd w:val="clear" w:color="auto" w:fill="auto"/>
        <w:rPr>
          <w:color w:val="auto"/>
          <w:highlight w:val="white"/>
        </w:rPr>
      </w:pPr>
      <w:r>
        <w:rPr>
          <w:color w:val="auto"/>
          <w:highlight w:val="white"/>
        </w:rPr>
        <w:t>д)</w:t>
        <w:tab/>
        <w:t>анализ мер поддержки экспорта, выявление наиболее эффективных мероприятий и услуг поддержки экспорта и/или разработка новых региональных мер поддержки для ключевых производителей-экспортеров и БРК;</w:t>
      </w:r>
    </w:p>
    <w:p>
      <w:pPr>
        <w:pStyle w:val="14"/>
        <w:shd w:val="clear" w:color="auto" w:fill="auto"/>
        <w:rPr>
          <w:color w:val="auto"/>
          <w:highlight w:val="white"/>
        </w:rPr>
      </w:pPr>
      <w:r>
        <w:rPr>
          <w:color w:val="auto"/>
          <w:highlight w:val="white"/>
        </w:rPr>
        <w:t>е)</w:t>
        <w:tab/>
        <w:t>план развития и поддержки экспорта продуктов ключевых производителей-экспортеров и БРК, включающий ожидаемые результаты по экспорту.</w:t>
      </w:r>
    </w:p>
    <w:p>
      <w:pPr>
        <w:pStyle w:val="14"/>
        <w:shd w:val="clear" w:color="auto" w:fill="auto"/>
        <w:spacing w:before="0" w:after="102"/>
        <w:rPr>
          <w:color w:val="auto"/>
          <w:highlight w:val="white"/>
        </w:rPr>
      </w:pPr>
      <w:r>
        <w:rPr>
          <w:color w:val="auto"/>
          <w:highlight w:val="white"/>
        </w:rPr>
        <w:t>7.</w:t>
        <w:tab/>
        <w:t>По итогу исполнения отраслевого плана развития и поддержки экспорта продуктов ключевых производителей-экспортеров и БРК Субъекту рекомендуется провести исследование (тип 2) результатов ранее проведенных мероприятий и оказанных мер поддержки, осуществленных на основании разработанных ранее аналитических данных и планов по выводу на иностранные рынки приоритетных и перспективных товаров (групп товаров) ключевыми производителями, экспортерами и БРК, включая оценку эффективности оказанных мер поддержки, выводы и предложения по корректировке подходов к поддержке и развитию экспорта региональных Организаций, а при необходимости – по подготовке новых мер и инструментов поддержки рассматриваемых товаров, Организаций и отрасли.</w:t>
      </w:r>
    </w:p>
    <w:p>
      <w:pPr>
        <w:pStyle w:val="14"/>
        <w:shd w:val="clear" w:color="auto" w:fill="auto"/>
        <w:rPr>
          <w:color w:val="auto"/>
          <w:highlight w:val="white"/>
        </w:rPr>
      </w:pPr>
      <w:r>
        <w:rPr>
          <w:color w:val="auto"/>
          <w:highlight w:val="white"/>
        </w:rPr>
        <w:t>8.</w:t>
        <w:tab/>
        <w:t>Субъекту рекомендуется выносить на рассмотрение Экспортного совета при высшем должностном лице Субъекта отраслевые исследования (типы 1 и 2), разработанные в соответствии с пп. 6 и 7 настоящего Инструмента, а также отчеты о результатах их внедрения (применения, реализации) на практике.</w:t>
      </w:r>
    </w:p>
    <w:p>
      <w:pPr>
        <w:pStyle w:val="14"/>
        <w:shd w:val="clear" w:color="auto" w:fill="auto"/>
        <w:rPr>
          <w:color w:val="auto"/>
          <w:highlight w:val="white"/>
        </w:rPr>
      </w:pPr>
      <w:r>
        <w:rPr>
          <w:color w:val="auto"/>
          <w:highlight w:val="white"/>
        </w:rPr>
        <w:t>9.</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9.1.</w:t>
        <w:tab/>
        <w:t xml:space="preserve">Уровень 1: </w:t>
      </w:r>
    </w:p>
    <w:p>
      <w:pPr>
        <w:pStyle w:val="14"/>
        <w:numPr>
          <w:ilvl w:val="0"/>
          <w:numId w:val="93"/>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29"/>
        </w:numPr>
        <w:shd w:val="clear" w:color="auto" w:fill="auto"/>
        <w:spacing w:before="0" w:after="0"/>
        <w:ind w:hanging="425" w:left="425"/>
        <w:rPr>
          <w:color w:val="auto"/>
          <w:highlight w:val="white"/>
        </w:rPr>
      </w:pPr>
      <w:r>
        <w:rPr>
          <w:color w:val="auto"/>
          <w:highlight w:val="white"/>
        </w:rPr>
        <w:t>разработана региональная методика отнесения Организаций к категории потенциальных экспортеров;</w:t>
      </w:r>
    </w:p>
    <w:p>
      <w:pPr>
        <w:pStyle w:val="14"/>
        <w:numPr>
          <w:ilvl w:val="0"/>
          <w:numId w:val="29"/>
        </w:numPr>
        <w:shd w:val="clear" w:color="auto" w:fill="auto"/>
        <w:spacing w:before="0" w:after="0"/>
        <w:ind w:hanging="425" w:left="425"/>
        <w:rPr>
          <w:color w:val="auto"/>
          <w:highlight w:val="white"/>
        </w:rPr>
      </w:pPr>
      <w:r>
        <w:rPr>
          <w:color w:val="auto"/>
          <w:highlight w:val="white"/>
        </w:rPr>
        <w:t>сформирована база экспортеров и потенциальных экспортеров;</w:t>
      </w:r>
    </w:p>
    <w:p>
      <w:pPr>
        <w:pStyle w:val="14"/>
        <w:numPr>
          <w:ilvl w:val="0"/>
          <w:numId w:val="29"/>
        </w:numPr>
        <w:shd w:val="clear" w:color="auto" w:fill="auto"/>
        <w:spacing w:before="0" w:after="102"/>
        <w:ind w:hanging="425" w:left="425"/>
        <w:rPr>
          <w:color w:val="auto"/>
          <w:highlight w:val="white"/>
        </w:rPr>
      </w:pPr>
      <w:r>
        <w:rPr>
          <w:color w:val="auto"/>
          <w:highlight w:val="white"/>
        </w:rPr>
        <w:t>проведен анализ потребностей и барьеров для экспорта.</w:t>
      </w:r>
    </w:p>
    <w:p>
      <w:pPr>
        <w:pStyle w:val="14"/>
        <w:shd w:val="clear" w:color="auto" w:fill="auto"/>
        <w:rPr>
          <w:color w:val="auto"/>
          <w:highlight w:val="white"/>
        </w:rPr>
      </w:pPr>
      <w:r>
        <w:rPr>
          <w:color w:val="auto"/>
          <w:highlight w:val="white"/>
        </w:rPr>
        <w:t>9.2.</w:t>
        <w:tab/>
        <w:t xml:space="preserve">Уровень 2: </w:t>
      </w:r>
    </w:p>
    <w:p>
      <w:pPr>
        <w:pStyle w:val="14"/>
        <w:shd w:val="clear" w:color="auto" w:fill="auto"/>
        <w:ind w:firstLine="425"/>
        <w:rPr>
          <w:color w:val="auto"/>
          <w:highlight w:val="white"/>
        </w:rPr>
      </w:pPr>
      <w:r>
        <w:rPr>
          <w:color w:val="auto"/>
          <w:highlight w:val="white"/>
        </w:rPr>
        <w:t>В отчетном году Субъектом обеспечены:</w:t>
      </w:r>
    </w:p>
    <w:p>
      <w:pPr>
        <w:pStyle w:val="14"/>
        <w:numPr>
          <w:ilvl w:val="0"/>
          <w:numId w:val="126"/>
        </w:numPr>
        <w:shd w:val="clear" w:color="auto" w:fill="auto"/>
        <w:spacing w:before="0" w:after="0"/>
        <w:ind w:hanging="425" w:left="425"/>
        <w:rPr>
          <w:color w:val="auto"/>
          <w:highlight w:val="white"/>
        </w:rPr>
      </w:pPr>
      <w:r>
        <w:rPr>
          <w:color w:val="auto"/>
          <w:highlight w:val="white"/>
        </w:rPr>
        <w:t>подготовка одного или нескольких отраслевых исследований (тип 1), направленных на совершенствование инструментария поддержки экспорта и повышения его эффективности с учетом потребностей ключевых производителей-экспортеров и БРК, включая план развития и поддержки экспорта продуктов данных Организаций;</w:t>
      </w:r>
    </w:p>
    <w:p>
      <w:pPr>
        <w:pStyle w:val="14"/>
        <w:numPr>
          <w:ilvl w:val="0"/>
          <w:numId w:val="126"/>
        </w:numPr>
        <w:shd w:val="clear" w:color="auto" w:fill="auto"/>
        <w:ind w:hanging="425" w:left="425"/>
        <w:rPr>
          <w:color w:val="auto"/>
          <w:highlight w:val="white"/>
        </w:rPr>
      </w:pPr>
      <w:r>
        <w:rPr>
          <w:color w:val="auto"/>
          <w:highlight w:val="white"/>
        </w:rPr>
        <w:t>внедрение результатов исследования(ий) (тип 1) на практике: создан новый инструментарий поддержки экспорта или усовершенствован, адаптирован действующий инструментарий.</w:t>
      </w:r>
    </w:p>
    <w:p>
      <w:pPr>
        <w:pStyle w:val="14"/>
        <w:shd w:val="clear" w:color="auto" w:fill="auto"/>
        <w:rPr>
          <w:color w:val="auto"/>
          <w:highlight w:val="white"/>
        </w:rPr>
      </w:pPr>
      <w:r>
        <w:rPr>
          <w:color w:val="auto"/>
          <w:highlight w:val="white"/>
        </w:rPr>
        <w:t>9.3.</w:t>
        <w:tab/>
        <w:t>Уровень 3:</w:t>
      </w:r>
      <w:r>
        <w:rPr>
          <w:color w:val="auto"/>
        </w:rPr>
        <w:t xml:space="preserve"> </w:t>
      </w:r>
    </w:p>
    <w:p>
      <w:pPr>
        <w:pStyle w:val="14"/>
        <w:shd w:val="clear" w:color="auto" w:fill="auto"/>
        <w:ind w:firstLine="425"/>
        <w:rPr>
          <w:color w:val="auto"/>
          <w:highlight w:val="white"/>
        </w:rPr>
      </w:pPr>
      <w:r>
        <w:rPr>
          <w:color w:val="auto"/>
          <w:highlight w:val="white"/>
        </w:rPr>
        <w:t>В отчетном году Субъектом</w:t>
      </w:r>
      <w:r>
        <w:rPr>
          <w:color w:val="auto"/>
        </w:rPr>
        <w:t xml:space="preserve"> </w:t>
      </w:r>
      <w:r>
        <w:rPr>
          <w:color w:val="auto"/>
          <w:highlight w:val="white"/>
        </w:rPr>
        <w:t>обеспечены:</w:t>
      </w:r>
    </w:p>
    <w:p>
      <w:pPr>
        <w:pStyle w:val="14"/>
        <w:numPr>
          <w:ilvl w:val="0"/>
          <w:numId w:val="127"/>
        </w:numPr>
        <w:shd w:val="clear" w:color="auto" w:fill="auto"/>
        <w:ind w:hanging="425" w:left="425"/>
        <w:rPr>
          <w:color w:val="auto"/>
          <w:highlight w:val="white"/>
        </w:rPr>
      </w:pPr>
      <w:r>
        <w:rPr>
          <w:color w:val="auto"/>
          <w:highlight w:val="white"/>
        </w:rPr>
        <w:t>подготовка одного или нескольких исследований (тип 2) результатов ранее проведенных мероприятий и оказанных мер поддержки, осуществленных на основании разработанных ранее аналитических данных и планов развития и поддержки экспорта продуктов ключевыми экспортерами-производителями и БРК, включая оценку эффективности оказанных мер поддержки, выводы и предложения по корректировке подходов к поддержке и развитию экспорта региональных Организаций, а при необходимости – по подготовке новых мер и инструментов поддержки рассматриваемых товаров, Организаций и отрасли;</w:t>
      </w:r>
    </w:p>
    <w:p>
      <w:pPr>
        <w:pStyle w:val="14"/>
        <w:numPr>
          <w:ilvl w:val="0"/>
          <w:numId w:val="127"/>
        </w:numPr>
        <w:shd w:val="clear" w:color="auto" w:fill="auto"/>
        <w:ind w:hanging="425" w:left="425"/>
        <w:rPr>
          <w:color w:val="auto"/>
          <w:highlight w:val="white"/>
        </w:rPr>
      </w:pPr>
      <w:r>
        <w:rPr>
          <w:color w:val="auto"/>
          <w:highlight w:val="white"/>
        </w:rPr>
        <w:t>внедрение результатов исследований (тип 2) на практике: созданы новые инструменты/элементы поддержки, скорректированы действующие инструменты поддержки.</w:t>
      </w:r>
    </w:p>
    <w:p>
      <w:pPr>
        <w:sectPr>
          <w:headerReference w:type="even" r:id="rId29"/>
          <w:headerReference w:type="default" r:id="rId30"/>
          <w:headerReference w:type="first" r:id="rId31"/>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0"/>
        <w:rPr>
          <w:color w:val="auto"/>
          <w:highlight w:val="white"/>
        </w:rPr>
      </w:pPr>
      <w:r>
        <w:rPr>
          <w:color w:val="auto"/>
          <w:highlight w:val="white"/>
        </w:rPr>
      </w:r>
    </w:p>
    <w:p>
      <w:pPr>
        <w:pStyle w:val="25"/>
        <w:numPr>
          <w:ilvl w:val="0"/>
          <w:numId w:val="15"/>
        </w:numPr>
        <w:shd w:val="clear" w:color="auto" w:fill="auto"/>
        <w:tabs>
          <w:tab w:val="clear" w:pos="709"/>
          <w:tab w:val="left" w:pos="992" w:leader="none"/>
        </w:tabs>
        <w:spacing w:before="0" w:after="119"/>
        <w:ind w:left="567" w:right="626"/>
        <w:contextualSpacing/>
        <w:jc w:val="left"/>
        <w:rPr>
          <w:color w:val="auto"/>
          <w:highlight w:val="white"/>
        </w:rPr>
      </w:pPr>
      <w:r>
        <w:rPr>
          <w:b/>
          <w:bCs/>
          <w:color w:val="auto"/>
          <w:highlight w:val="white"/>
        </w:rPr>
        <w:t>Обеспечение доступности мер государственной поддержки экспортной деятельности в субъекте Российской Федерации</w:t>
      </w:r>
    </w:p>
    <w:p>
      <w:pPr>
        <w:pStyle w:val="Normal"/>
        <w:rPr>
          <w:color w:val="auto"/>
          <w:highlight w:val="white"/>
        </w:rPr>
      </w:pPr>
      <w:r>
        <w:rPr>
          <w:color w:val="auto"/>
          <w:highlight w:val="white"/>
        </w:rPr>
      </w:r>
    </w:p>
    <w:p>
      <w:pPr>
        <w:pStyle w:val="27"/>
        <w:keepNext w:val="true"/>
        <w:keepLines/>
        <w:shd w:val="clear" w:color="auto" w:fill="auto"/>
        <w:tabs>
          <w:tab w:val="clear" w:pos="709"/>
          <w:tab w:val="left" w:pos="355" w:leader="none"/>
        </w:tabs>
        <w:rPr>
          <w:color w:val="auto"/>
          <w:highlight w:val="white"/>
        </w:rPr>
      </w:pPr>
      <w:bookmarkStart w:id="9" w:name="bookmark9"/>
      <w:r>
        <w:rPr>
          <w:color w:val="auto"/>
          <w:highlight w:val="white"/>
        </w:rPr>
        <w:t>Инструмент 7. Региональные меры государственной поддержки экспорта</w:t>
      </w:r>
      <w:bookmarkEnd w:id="9"/>
    </w:p>
    <w:p>
      <w:pPr>
        <w:pStyle w:val="14"/>
        <w:shd w:val="clear" w:color="auto" w:fill="auto"/>
        <w:spacing w:before="0" w:after="102"/>
        <w:rPr>
          <w:color w:val="auto"/>
          <w:highlight w:val="white"/>
        </w:rPr>
      </w:pPr>
      <w:r>
        <w:rPr>
          <w:color w:val="auto"/>
          <w:highlight w:val="white"/>
        </w:rPr>
        <w:t>1.</w:t>
        <w:tab/>
        <w:t>Субъекту рекомендовано обеспечить достаточный уровень поддержки экспорта за счет организации мероприятий за рубежом, а также на территории Субъекта, направленных на поиск потенциальных иностранных покупателей товаров для Организаций, зарегистрированных на территории Субъекта.</w:t>
      </w:r>
    </w:p>
    <w:p>
      <w:pPr>
        <w:pStyle w:val="14"/>
        <w:shd w:val="clear" w:color="auto" w:fill="auto"/>
        <w:spacing w:before="0" w:after="102"/>
        <w:rPr>
          <w:color w:val="auto"/>
          <w:highlight w:val="white"/>
        </w:rPr>
      </w:pPr>
      <w:r>
        <w:rPr>
          <w:color w:val="auto"/>
          <w:highlight w:val="white"/>
        </w:rPr>
        <w:t>2.</w:t>
        <w:tab/>
        <w:t>На основании определенных Стратегией ВЭД наиболее перспективных отраслей экспорта и целевых рынков Субъекту рекомендовано разработать и утвердить трехлетний план предоставления региональных мер государственной поддержки экспорта (далее – План поддержки), включающий в себя следующие типы мер государственной поддержки экспорта:</w:t>
      </w:r>
    </w:p>
    <w:p>
      <w:pPr>
        <w:pStyle w:val="14"/>
        <w:shd w:val="clear" w:color="auto" w:fill="auto"/>
        <w:spacing w:before="0" w:after="0"/>
        <w:rPr>
          <w:color w:val="auto"/>
          <w:highlight w:val="white"/>
        </w:rPr>
      </w:pPr>
      <w:r>
        <w:rPr>
          <w:color w:val="auto"/>
          <w:highlight w:val="white"/>
        </w:rPr>
        <w:t>2.1.</w:t>
        <w:tab/>
        <w:t>Содействие в поиске и подборе иностранного покупателя.</w:t>
      </w:r>
    </w:p>
    <w:p>
      <w:pPr>
        <w:pStyle w:val="14"/>
        <w:shd w:val="clear" w:color="auto" w:fill="auto"/>
        <w:spacing w:before="0" w:after="0"/>
        <w:rPr>
          <w:color w:val="auto"/>
          <w:highlight w:val="white"/>
        </w:rPr>
      </w:pPr>
      <w:r>
        <w:rPr>
          <w:color w:val="auto"/>
          <w:highlight w:val="white"/>
        </w:rPr>
        <w:t>2.2.</w:t>
        <w:tab/>
        <w:t>Обеспечение доступа к запросам иностранных покупателей на товары.</w:t>
      </w:r>
    </w:p>
    <w:p>
      <w:pPr>
        <w:pStyle w:val="14"/>
        <w:shd w:val="clear" w:color="auto" w:fill="auto"/>
        <w:spacing w:before="0" w:after="0"/>
        <w:rPr>
          <w:color w:val="auto"/>
          <w:highlight w:val="white"/>
        </w:rPr>
      </w:pPr>
      <w:r>
        <w:rPr>
          <w:color w:val="auto"/>
          <w:highlight w:val="white"/>
        </w:rPr>
        <w:t>2.3.</w:t>
        <w:tab/>
        <w:t>Организация и проведение международных бизнес-миссий.</w:t>
      </w:r>
    </w:p>
    <w:p>
      <w:pPr>
        <w:pStyle w:val="14"/>
        <w:shd w:val="clear" w:color="auto" w:fill="auto"/>
        <w:spacing w:before="0" w:after="0"/>
        <w:rPr>
          <w:color w:val="auto"/>
          <w:highlight w:val="white"/>
        </w:rPr>
      </w:pPr>
      <w:r>
        <w:rPr>
          <w:color w:val="auto"/>
          <w:highlight w:val="white"/>
        </w:rPr>
        <w:t>2.4.</w:t>
        <w:tab/>
        <w:t>Организация и проведение реверсных бизнес-миссий.</w:t>
      </w:r>
    </w:p>
    <w:p>
      <w:pPr>
        <w:pStyle w:val="14"/>
        <w:shd w:val="clear" w:color="auto" w:fill="auto"/>
        <w:spacing w:before="0" w:after="0"/>
        <w:rPr>
          <w:color w:val="auto"/>
          <w:highlight w:val="white"/>
        </w:rPr>
      </w:pPr>
      <w:r>
        <w:rPr>
          <w:color w:val="auto"/>
          <w:highlight w:val="white"/>
        </w:rPr>
        <w:t>2.5.</w:t>
        <w:tab/>
        <w:t>Организация и проведение межрегиональных бизнес-миссий.</w:t>
      </w:r>
    </w:p>
    <w:p>
      <w:pPr>
        <w:pStyle w:val="14"/>
        <w:shd w:val="clear" w:color="auto" w:fill="auto"/>
        <w:spacing w:before="0" w:after="0"/>
        <w:rPr>
          <w:color w:val="auto"/>
          <w:highlight w:val="white"/>
        </w:rPr>
      </w:pPr>
      <w:r>
        <w:rPr>
          <w:color w:val="auto"/>
          <w:highlight w:val="white"/>
        </w:rPr>
        <w:t>2.6.</w:t>
        <w:tab/>
        <w:t>Организация участия в международном выставочно-ярмарочном мероприятии в иностранном государстве.</w:t>
      </w:r>
    </w:p>
    <w:p>
      <w:pPr>
        <w:pStyle w:val="14"/>
        <w:shd w:val="clear" w:color="auto" w:fill="auto"/>
        <w:spacing w:before="0" w:after="0"/>
        <w:rPr>
          <w:color w:val="auto"/>
          <w:highlight w:val="white"/>
        </w:rPr>
      </w:pPr>
      <w:r>
        <w:rPr>
          <w:color w:val="auto"/>
          <w:highlight w:val="white"/>
        </w:rPr>
        <w:t>2.7.</w:t>
        <w:tab/>
        <w:t>Организация участия в международном выставочно-ярмарочном мероприятии в Российской Федерации.</w:t>
      </w:r>
    </w:p>
    <w:p>
      <w:pPr>
        <w:pStyle w:val="14"/>
        <w:shd w:val="clear" w:color="auto" w:fill="auto"/>
        <w:spacing w:before="0" w:after="0"/>
        <w:rPr>
          <w:color w:val="auto"/>
          <w:highlight w:val="white"/>
        </w:rPr>
      </w:pPr>
      <w:r>
        <w:rPr>
          <w:color w:val="auto"/>
          <w:highlight w:val="white"/>
        </w:rPr>
        <w:t>2.8.</w:t>
        <w:tab/>
        <w:t>Содействие в размещении и/или продвижении товаров на международных электронных торговых площадках, в том числе в коллективных магазинах российских товаров, позиционируемых в качестве национальных.</w:t>
      </w:r>
    </w:p>
    <w:p>
      <w:pPr>
        <w:pStyle w:val="14"/>
        <w:shd w:val="clear" w:color="auto" w:fill="auto"/>
        <w:spacing w:before="0" w:after="0"/>
        <w:rPr>
          <w:color w:val="auto"/>
          <w:highlight w:val="white"/>
        </w:rPr>
      </w:pPr>
      <w:r>
        <w:rPr>
          <w:color w:val="auto"/>
          <w:highlight w:val="white"/>
        </w:rPr>
        <w:t>2.9.</w:t>
        <w:tab/>
        <w:t>Содействие в приведении продукции и (или) производственного процесса в соответствие с обязательными требованиями, предъявляемыми на внешних рынках для экспорта товаров (стандартизация, сертификация, необходимые разрешения).</w:t>
      </w:r>
    </w:p>
    <w:p>
      <w:pPr>
        <w:pStyle w:val="14"/>
        <w:shd w:val="clear" w:color="auto" w:fill="auto"/>
        <w:spacing w:before="0" w:after="0"/>
        <w:rPr>
          <w:color w:val="auto"/>
          <w:highlight w:val="white"/>
        </w:rPr>
      </w:pPr>
      <w:r>
        <w:rPr>
          <w:color w:val="auto"/>
          <w:highlight w:val="white"/>
        </w:rPr>
        <w:t>2.10.</w:t>
        <w:tab/>
        <w:t>Содействие в обеспечении защиты и оформлении прав на результаты интеллектуальной деятельности и приравненные к ним средства индивидуализации, которым предоставляется правовая охрана за пределами территории Российской Федерации.</w:t>
      </w:r>
    </w:p>
    <w:p>
      <w:pPr>
        <w:pStyle w:val="14"/>
        <w:shd w:val="clear" w:color="auto" w:fill="auto"/>
        <w:spacing w:before="0" w:after="0"/>
        <w:rPr>
          <w:color w:val="auto"/>
          <w:highlight w:val="white"/>
        </w:rPr>
      </w:pPr>
      <w:r>
        <w:rPr>
          <w:color w:val="auto"/>
          <w:highlight w:val="white"/>
        </w:rPr>
        <w:t>2.11.</w:t>
        <w:tab/>
        <w:t>Содействие в организации и осуществлении транспортировки продукции, предназначенной для экспорта, на внешние рынки.</w:t>
      </w:r>
    </w:p>
    <w:p>
      <w:pPr>
        <w:pStyle w:val="14"/>
        <w:shd w:val="clear" w:color="auto" w:fill="auto"/>
        <w:spacing w:before="0" w:after="0"/>
        <w:rPr>
          <w:color w:val="auto"/>
          <w:highlight w:val="white"/>
        </w:rPr>
      </w:pPr>
      <w:r>
        <w:rPr>
          <w:color w:val="auto"/>
          <w:highlight w:val="white"/>
        </w:rPr>
        <w:t>2.12.</w:t>
        <w:tab/>
        <w:t>Содействие в проведении индивидуальных маркетинговых или патентных исследований иностранных рынков.</w:t>
      </w:r>
    </w:p>
    <w:p>
      <w:pPr>
        <w:pStyle w:val="14"/>
        <w:shd w:val="clear" w:color="auto" w:fill="auto"/>
        <w:spacing w:before="0" w:after="0"/>
        <w:rPr>
          <w:color w:val="auto"/>
          <w:highlight w:val="white"/>
        </w:rPr>
      </w:pPr>
      <w:r>
        <w:rPr>
          <w:color w:val="auto"/>
          <w:highlight w:val="white"/>
        </w:rPr>
        <w:t>2.13.</w:t>
        <w:tab/>
        <w:t>Содействие в размещении и хранении продукции в местах временного хранения за рубежом.</w:t>
      </w:r>
    </w:p>
    <w:p>
      <w:pPr>
        <w:pStyle w:val="14"/>
        <w:shd w:val="clear" w:color="auto" w:fill="auto"/>
        <w:spacing w:before="0" w:after="0"/>
        <w:rPr>
          <w:color w:val="auto"/>
          <w:highlight w:val="white"/>
        </w:rPr>
      </w:pPr>
      <w:r>
        <w:rPr>
          <w:color w:val="auto"/>
          <w:highlight w:val="white"/>
        </w:rPr>
        <w:t>2.14.</w:t>
        <w:tab/>
        <w:t>Информационно-консультационные мероприятия по вопросам экспортной деятельности.</w:t>
      </w:r>
    </w:p>
    <w:p>
      <w:pPr>
        <w:pStyle w:val="14"/>
        <w:shd w:val="clear" w:color="auto" w:fill="auto"/>
        <w:spacing w:before="0" w:after="0"/>
        <w:rPr>
          <w:color w:val="auto"/>
          <w:highlight w:val="white"/>
        </w:rPr>
      </w:pPr>
      <w:r>
        <w:rPr>
          <w:color w:val="auto"/>
          <w:highlight w:val="white"/>
        </w:rPr>
        <w:t>2.15.</w:t>
        <w:tab/>
        <w:t>Проверка благонадежности иностранного контрагента.</w:t>
      </w:r>
    </w:p>
    <w:p>
      <w:pPr>
        <w:pStyle w:val="14"/>
        <w:shd w:val="clear" w:color="auto" w:fill="auto"/>
        <w:spacing w:before="0" w:after="0"/>
        <w:rPr>
          <w:color w:val="auto"/>
          <w:highlight w:val="white"/>
        </w:rPr>
      </w:pPr>
      <w:r>
        <w:rPr>
          <w:color w:val="auto"/>
          <w:highlight w:val="white"/>
        </w:rPr>
        <w:t>2.16.</w:t>
        <w:tab/>
        <w:t>Организация участия в экспортных акселерационных программах, включая инкубационные программы и экспортные мини-МБА, в том числе в межрегиональном формате.</w:t>
      </w:r>
    </w:p>
    <w:p>
      <w:pPr>
        <w:pStyle w:val="14"/>
        <w:shd w:val="clear" w:color="auto" w:fill="auto"/>
        <w:spacing w:before="0" w:after="0"/>
        <w:rPr>
          <w:color w:val="auto"/>
          <w:highlight w:val="white"/>
        </w:rPr>
      </w:pPr>
      <w:r>
        <w:rPr>
          <w:color w:val="auto"/>
          <w:highlight w:val="white"/>
        </w:rPr>
        <w:t>2.17.</w:t>
        <w:tab/>
        <w:t>Организация и проведение семинаров, вебинаров, мастер-классов и других информационно-консультационных мероприятий по вопросам экспортной деятельности.</w:t>
      </w:r>
    </w:p>
    <w:p>
      <w:pPr>
        <w:pStyle w:val="14"/>
        <w:shd w:val="clear" w:color="auto" w:fill="auto"/>
        <w:spacing w:before="0" w:after="0"/>
        <w:rPr>
          <w:color w:val="auto"/>
          <w:highlight w:val="white"/>
        </w:rPr>
      </w:pPr>
      <w:r>
        <w:rPr>
          <w:color w:val="auto"/>
          <w:highlight w:val="white"/>
        </w:rPr>
        <w:t>2.18.</w:t>
        <w:tab/>
        <w:t>Прочие региональные нефинансовые меры поддержки экспортеров и потенциальных экспортеров (непоименованные ранее при наличии).</w:t>
      </w:r>
    </w:p>
    <w:p>
      <w:pPr>
        <w:pStyle w:val="14"/>
        <w:shd w:val="clear" w:color="auto" w:fill="auto"/>
        <w:spacing w:before="0" w:after="120"/>
        <w:rPr>
          <w:color w:val="auto"/>
          <w:highlight w:val="white"/>
        </w:rPr>
      </w:pPr>
      <w:r>
        <w:rPr>
          <w:color w:val="auto"/>
          <w:highlight w:val="white"/>
        </w:rPr>
        <w:t>2.19.</w:t>
        <w:tab/>
        <w:t>Региональные прямые меры поддержки экспортеров и потенциальных экспортеров (субсидии, гранты и прочие при наличии).</w:t>
      </w:r>
    </w:p>
    <w:p>
      <w:pPr>
        <w:pStyle w:val="14"/>
        <w:shd w:val="clear" w:color="auto" w:fill="auto"/>
        <w:spacing w:before="0" w:after="102"/>
        <w:rPr>
          <w:color w:val="auto"/>
        </w:rPr>
      </w:pPr>
      <w:r>
        <w:rPr>
          <w:color w:val="auto"/>
        </w:rPr>
        <w:t>3.</w:t>
        <w:tab/>
      </w:r>
      <w:r>
        <w:rPr>
          <w:color w:val="auto"/>
          <w:highlight w:val="white"/>
        </w:rPr>
        <w:t>В Плане поддержки рекомендуется предусмотреть годовые количественные показатели по оказанию мер государственной поддержки экспорта по типам, указанным в п. 2 настоящего Инструмента, в Инструментах 10 и 11, с указанием их значений, в том числе для развития въездного туризма и креативных индустрий.</w:t>
      </w:r>
    </w:p>
    <w:p>
      <w:pPr>
        <w:pStyle w:val="14"/>
        <w:shd w:val="clear" w:color="auto" w:fill="auto"/>
        <w:spacing w:before="0" w:after="102"/>
        <w:rPr>
          <w:color w:val="auto"/>
        </w:rPr>
      </w:pPr>
      <w:r>
        <w:rPr>
          <w:color w:val="auto"/>
        </w:rPr>
        <w:t>4.</w:t>
        <w:tab/>
        <w:t>План поддержки может быть разработан в одной из следующих форм по усмотрению Субъекта:</w:t>
      </w:r>
    </w:p>
    <w:p>
      <w:pPr>
        <w:pStyle w:val="14"/>
        <w:numPr>
          <w:ilvl w:val="0"/>
          <w:numId w:val="120"/>
        </w:numPr>
        <w:shd w:val="clear" w:color="auto" w:fill="auto"/>
        <w:spacing w:before="0" w:after="0"/>
        <w:ind w:hanging="425" w:left="425"/>
        <w:rPr>
          <w:color w:val="auto"/>
        </w:rPr>
      </w:pPr>
      <w:r>
        <w:rPr>
          <w:color w:val="auto"/>
        </w:rPr>
        <w:t>как раздел Региональной программы Субъекта либо её приложения;</w:t>
      </w:r>
    </w:p>
    <w:p>
      <w:pPr>
        <w:pStyle w:val="14"/>
        <w:numPr>
          <w:ilvl w:val="0"/>
          <w:numId w:val="119"/>
        </w:numPr>
        <w:shd w:val="clear" w:color="auto" w:fill="auto"/>
        <w:spacing w:before="0" w:after="0"/>
        <w:ind w:hanging="425" w:left="425"/>
        <w:rPr>
          <w:color w:val="auto"/>
        </w:rPr>
      </w:pPr>
      <w:r>
        <w:rPr>
          <w:color w:val="auto"/>
        </w:rPr>
        <w:t>как отдельное приложение к Региональной программе;</w:t>
      </w:r>
    </w:p>
    <w:p>
      <w:pPr>
        <w:pStyle w:val="14"/>
        <w:numPr>
          <w:ilvl w:val="0"/>
          <w:numId w:val="119"/>
        </w:numPr>
        <w:shd w:val="clear" w:color="auto" w:fill="auto"/>
        <w:spacing w:before="0" w:after="102"/>
        <w:ind w:hanging="425" w:left="425"/>
        <w:rPr>
          <w:color w:val="auto"/>
          <w:highlight w:val="white"/>
        </w:rPr>
      </w:pPr>
      <w:r>
        <w:rPr>
          <w:color w:val="auto"/>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14"/>
        <w:shd w:val="clear" w:color="auto" w:fill="auto"/>
        <w:rPr>
          <w:color w:val="auto"/>
        </w:rPr>
      </w:pPr>
      <w:r>
        <w:rPr>
          <w:color w:val="auto"/>
          <w:highlight w:val="white"/>
        </w:rPr>
        <w:t>5.</w:t>
        <w:tab/>
        <w:t xml:space="preserve">В случае разработки </w:t>
      </w:r>
      <w:r>
        <w:rPr>
          <w:color w:val="auto"/>
        </w:rPr>
        <w:t>Плана поддержки как отдельного документа планирования ф</w:t>
      </w:r>
      <w:r>
        <w:rPr>
          <w:color w:val="auto"/>
          <w:highlight w:val="white"/>
        </w:rPr>
        <w:t>орма его утверждения определяется Субъектом самостоятельно из вариантов:</w:t>
      </w:r>
    </w:p>
    <w:p>
      <w:pPr>
        <w:pStyle w:val="14"/>
        <w:numPr>
          <w:ilvl w:val="0"/>
          <w:numId w:val="124"/>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w:t>
      </w:r>
    </w:p>
    <w:p>
      <w:pPr>
        <w:pStyle w:val="14"/>
        <w:numPr>
          <w:ilvl w:val="0"/>
          <w:numId w:val="124"/>
        </w:numPr>
        <w:shd w:val="clear" w:color="auto" w:fill="auto"/>
        <w:spacing w:before="0" w:after="0"/>
        <w:ind w:hanging="425" w:left="425"/>
        <w:rPr>
          <w:color w:val="auto"/>
          <w:highlight w:val="white"/>
        </w:rPr>
      </w:pPr>
      <w:r>
        <w:rPr>
          <w:color w:val="auto"/>
          <w:highlight w:val="white"/>
        </w:rPr>
        <w:t>нормативно-правовой акт РОИВ-координатора;</w:t>
      </w:r>
    </w:p>
    <w:p>
      <w:pPr>
        <w:pStyle w:val="14"/>
        <w:numPr>
          <w:ilvl w:val="0"/>
          <w:numId w:val="124"/>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 входит в его компетенцию.</w:t>
      </w:r>
    </w:p>
    <w:p>
      <w:pPr>
        <w:pStyle w:val="14"/>
        <w:shd w:val="clear" w:color="auto" w:fill="auto"/>
        <w:spacing w:before="0" w:after="102"/>
        <w:rPr>
          <w:color w:val="auto"/>
          <w:highlight w:val="white"/>
        </w:rPr>
      </w:pPr>
      <w:r>
        <w:rPr>
          <w:color w:val="auto"/>
          <w:highlight w:val="white"/>
        </w:rPr>
        <w:t>6.</w:t>
        <w:tab/>
        <w:t>Субъекту рекомендовано ежегодно уточнять и актуализировать План поддержки на следующий отчетный период.</w:t>
      </w:r>
    </w:p>
    <w:p>
      <w:pPr>
        <w:pStyle w:val="14"/>
        <w:shd w:val="clear" w:color="auto" w:fill="auto"/>
        <w:spacing w:before="0" w:after="102"/>
        <w:rPr>
          <w:color w:val="auto"/>
          <w:highlight w:val="white"/>
        </w:rPr>
      </w:pPr>
      <w:r>
        <w:rPr>
          <w:color w:val="auto"/>
          <w:highlight w:val="white"/>
        </w:rPr>
        <w:t>7.</w:t>
        <w:tab/>
        <w:t>Меры поддержки, указанные в подп. 2.3–2.7 настоящего Инструмента, предусматривающие встречи российских Организаций с потенциальными иностранными покупателями, рекомендуется предоставлять в очном или дистанционном формате в случае установления соответствующих государственных ограничений. Также данные меры поддержки целесообразно осуществлять при межрегиональной кооперации.</w:t>
      </w:r>
    </w:p>
    <w:p>
      <w:pPr>
        <w:pStyle w:val="14"/>
        <w:shd w:val="clear" w:color="auto" w:fill="auto"/>
        <w:spacing w:before="0" w:after="102"/>
        <w:rPr>
          <w:color w:val="auto"/>
        </w:rPr>
      </w:pPr>
      <w:r>
        <w:rPr>
          <w:color w:val="auto"/>
          <w:highlight w:val="white"/>
        </w:rPr>
        <w:t>8.</w:t>
        <w:tab/>
        <w:t>При разработке новых мер поддержки экспортеров и потенциальных экспортеров рекомендуется изучать успешный опыт иных Субъектов, включенный в сборник лучших региональных практик развития и поддержки несырьевого неэнергетического экспорта, опубликованный в Системе.</w:t>
      </w:r>
    </w:p>
    <w:p>
      <w:pPr>
        <w:pStyle w:val="14"/>
        <w:shd w:val="clear" w:color="auto" w:fill="auto"/>
        <w:rPr>
          <w:color w:val="auto"/>
          <w:highlight w:val="white"/>
        </w:rPr>
      </w:pPr>
      <w:r>
        <w:rPr>
          <w:color w:val="auto"/>
          <w:highlight w:val="white"/>
        </w:rPr>
        <w:t>9.</w:t>
        <w:tab/>
        <w:t xml:space="preserve">Субъекту рекомендуется ежегодно до 1 декабря отчётного года формировать, утверждать и направлять в Систему отчёт об исполнении </w:t>
      </w:r>
      <w:r>
        <w:rPr>
          <w:color w:val="auto"/>
        </w:rPr>
        <w:t>Плана поддержки</w:t>
      </w:r>
      <w:r>
        <w:rPr>
          <w:color w:val="auto"/>
          <w:highlight w:val="white"/>
        </w:rPr>
        <w:t>.</w:t>
      </w:r>
    </w:p>
    <w:p>
      <w:pPr>
        <w:pStyle w:val="14"/>
        <w:shd w:val="clear" w:color="auto" w:fill="auto"/>
        <w:rPr>
          <w:color w:val="auto"/>
          <w:highlight w:val="white"/>
        </w:rPr>
      </w:pPr>
      <w:r>
        <w:rPr>
          <w:color w:val="auto"/>
          <w:highlight w:val="white"/>
        </w:rPr>
        <w:t>Форма утверждения отчёта определяется Субъектом самостоятельно из вариантов:</w:t>
      </w:r>
    </w:p>
    <w:p>
      <w:pPr>
        <w:pStyle w:val="14"/>
        <w:numPr>
          <w:ilvl w:val="0"/>
          <w:numId w:val="123"/>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w:t>
      </w:r>
    </w:p>
    <w:p>
      <w:pPr>
        <w:pStyle w:val="14"/>
        <w:numPr>
          <w:ilvl w:val="0"/>
          <w:numId w:val="123"/>
        </w:numPr>
        <w:shd w:val="clear" w:color="auto" w:fill="auto"/>
        <w:spacing w:before="0" w:after="0"/>
        <w:ind w:hanging="425" w:left="425"/>
        <w:rPr>
          <w:color w:val="auto"/>
          <w:highlight w:val="white"/>
        </w:rPr>
      </w:pPr>
      <w:r>
        <w:rPr>
          <w:color w:val="auto"/>
          <w:highlight w:val="white"/>
        </w:rPr>
        <w:t>нормативно-правовой акт РОИВ-координатора;</w:t>
      </w:r>
    </w:p>
    <w:p>
      <w:pPr>
        <w:pStyle w:val="14"/>
        <w:numPr>
          <w:ilvl w:val="0"/>
          <w:numId w:val="123"/>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spacing w:before="0" w:after="102"/>
        <w:rPr>
          <w:color w:val="auto"/>
          <w:highlight w:val="white"/>
        </w:rPr>
      </w:pPr>
      <w:r>
        <w:rPr>
          <w:color w:val="auto"/>
          <w:highlight w:val="white"/>
        </w:rPr>
        <w:t xml:space="preserve">10. Инструмент считается внедренным, если </w:t>
      </w:r>
      <w:r>
        <w:rPr>
          <w:b/>
          <w:bCs/>
          <w:color w:val="auto"/>
          <w:highlight w:val="white"/>
        </w:rPr>
        <w:t>ежегодно</w:t>
      </w:r>
      <w:r>
        <w:rPr>
          <w:color w:val="auto"/>
          <w:highlight w:val="white"/>
        </w:rPr>
        <w:t>:</w:t>
      </w:r>
    </w:p>
    <w:p>
      <w:pPr>
        <w:pStyle w:val="14"/>
        <w:shd w:val="clear" w:color="auto" w:fill="auto"/>
        <w:spacing w:before="0" w:after="102"/>
        <w:rPr>
          <w:color w:val="auto"/>
          <w:highlight w:val="white"/>
        </w:rPr>
      </w:pPr>
      <w:r>
        <w:rPr>
          <w:color w:val="auto"/>
          <w:highlight w:val="white"/>
        </w:rPr>
        <w:t>10.1.</w:t>
        <w:tab/>
        <w:t>Уровень 1:</w:t>
      </w:r>
    </w:p>
    <w:p>
      <w:pPr>
        <w:pStyle w:val="14"/>
        <w:numPr>
          <w:ilvl w:val="0"/>
          <w:numId w:val="94"/>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32"/>
        </w:numPr>
        <w:shd w:val="clear" w:color="auto" w:fill="auto"/>
        <w:spacing w:before="0" w:after="0"/>
        <w:ind w:hanging="425" w:left="425"/>
        <w:rPr>
          <w:color w:val="auto"/>
          <w:highlight w:val="white"/>
        </w:rPr>
      </w:pPr>
      <w:r>
        <w:rPr>
          <w:color w:val="auto"/>
        </w:rPr>
        <w:t>П</w:t>
      </w:r>
      <w:r>
        <w:rPr>
          <w:color w:val="auto"/>
          <w:highlight w:val="white"/>
        </w:rPr>
        <w:t>лан поддержки разработан и утвержден, он включает оказание в отчетном году не менее 5 типов мер государственной поддержки экспорта из указанных в п. 2 настоящего Инструмента;</w:t>
      </w:r>
    </w:p>
    <w:p>
      <w:pPr>
        <w:pStyle w:val="14"/>
        <w:numPr>
          <w:ilvl w:val="0"/>
          <w:numId w:val="32"/>
        </w:numPr>
        <w:shd w:val="clear" w:color="auto" w:fill="auto"/>
        <w:spacing w:before="0" w:after="0"/>
        <w:ind w:hanging="425" w:left="425"/>
        <w:rPr>
          <w:color w:val="auto"/>
          <w:highlight w:val="white"/>
        </w:rPr>
      </w:pPr>
      <w:r>
        <w:rPr>
          <w:color w:val="auto"/>
        </w:rPr>
        <w:t xml:space="preserve">отчёт об исполнении Плана поддержки предоставлен в Систему (согласован экспертом РЭЦ) </w:t>
      </w:r>
      <w:r>
        <w:rPr>
          <w:color w:val="auto"/>
          <w:highlight w:val="white"/>
        </w:rPr>
        <w:t>до 1 декабря отчетного года;</w:t>
      </w:r>
    </w:p>
    <w:p>
      <w:pPr>
        <w:pStyle w:val="14"/>
        <w:numPr>
          <w:ilvl w:val="0"/>
          <w:numId w:val="32"/>
        </w:numPr>
        <w:shd w:val="clear" w:color="auto" w:fill="auto"/>
        <w:spacing w:before="0" w:after="102"/>
        <w:ind w:hanging="425" w:left="425"/>
        <w:rPr>
          <w:color w:val="auto"/>
          <w:highlight w:val="white"/>
        </w:rPr>
      </w:pPr>
      <w:r>
        <w:rPr>
          <w:color w:val="auto"/>
          <w:highlight w:val="white"/>
        </w:rPr>
        <w:t>каждый показатель Плана поддержки, утвержденный на отчетный год, исполнен не менее чем на 60% до 1 декабря отчетного года.</w:t>
      </w:r>
    </w:p>
    <w:p>
      <w:pPr>
        <w:pStyle w:val="14"/>
        <w:shd w:val="clear" w:color="auto" w:fill="auto"/>
        <w:spacing w:before="0" w:after="102"/>
        <w:rPr>
          <w:color w:val="auto"/>
          <w:highlight w:val="white"/>
        </w:rPr>
      </w:pPr>
      <w:r>
        <w:rPr>
          <w:color w:val="auto"/>
          <w:highlight w:val="white"/>
        </w:rPr>
        <w:t>10.2.</w:t>
        <w:tab/>
        <w:t xml:space="preserve">Уровень 2: </w:t>
      </w:r>
    </w:p>
    <w:p>
      <w:pPr>
        <w:pStyle w:val="14"/>
        <w:numPr>
          <w:ilvl w:val="0"/>
          <w:numId w:val="30"/>
        </w:numPr>
        <w:shd w:val="clear" w:color="auto" w:fill="auto"/>
        <w:spacing w:before="0" w:after="0"/>
        <w:ind w:hanging="425" w:left="425"/>
        <w:rPr>
          <w:color w:val="auto"/>
          <w:highlight w:val="white"/>
        </w:rPr>
      </w:pPr>
      <w:r>
        <w:rPr>
          <w:color w:val="auto"/>
        </w:rPr>
        <w:t>П</w:t>
      </w:r>
      <w:r>
        <w:rPr>
          <w:color w:val="auto"/>
          <w:highlight w:val="white"/>
        </w:rPr>
        <w:t>лан поддержки включает оказание в отчетном году не менее 7 типов мер государственной поддержки экспорта из указанных в п. 2 настоящего Инструмента;</w:t>
      </w:r>
    </w:p>
    <w:p>
      <w:pPr>
        <w:pStyle w:val="14"/>
        <w:numPr>
          <w:ilvl w:val="0"/>
          <w:numId w:val="30"/>
        </w:numPr>
        <w:shd w:val="clear" w:color="auto" w:fill="auto"/>
        <w:spacing w:before="0" w:after="0"/>
        <w:ind w:hanging="425" w:left="425"/>
        <w:rPr>
          <w:color w:val="auto"/>
          <w:highlight w:val="white"/>
        </w:rPr>
      </w:pPr>
      <w:r>
        <w:rPr>
          <w:color w:val="auto"/>
          <w:highlight w:val="white"/>
        </w:rPr>
        <w:t>в План поддержки включены меры государственной поддержки экспорта, направленные на развитие отраслей: въездной туризм и креативные индустрии;</w:t>
      </w:r>
    </w:p>
    <w:p>
      <w:pPr>
        <w:pStyle w:val="14"/>
        <w:numPr>
          <w:ilvl w:val="0"/>
          <w:numId w:val="30"/>
        </w:numPr>
        <w:shd w:val="clear" w:color="auto" w:fill="auto"/>
        <w:spacing w:before="0" w:after="0"/>
        <w:ind w:hanging="425" w:left="425"/>
        <w:rPr>
          <w:color w:val="auto"/>
          <w:highlight w:val="white"/>
        </w:rPr>
      </w:pPr>
      <w:r>
        <w:rPr>
          <w:color w:val="auto"/>
          <w:highlight w:val="white"/>
        </w:rPr>
        <w:t>каждый показатель Плана поддержки, утвержденный на отчетный год, исполнен не менее чем на 80% до 1 декабря отчетного года;</w:t>
      </w:r>
    </w:p>
    <w:p>
      <w:pPr>
        <w:pStyle w:val="14"/>
        <w:numPr>
          <w:ilvl w:val="0"/>
          <w:numId w:val="30"/>
        </w:numPr>
        <w:shd w:val="clear" w:color="auto" w:fill="auto"/>
        <w:spacing w:before="0" w:after="102"/>
        <w:ind w:hanging="425" w:left="425"/>
        <w:rPr>
          <w:color w:val="auto"/>
          <w:highlight w:val="white"/>
        </w:rPr>
      </w:pPr>
      <w:r>
        <w:rPr>
          <w:color w:val="auto"/>
          <w:highlight w:val="white"/>
        </w:rPr>
        <w:t>в отчетном году проведено не менее чем одно мероприятие (оказана мера государственной поддержки из указанных в подп. 2.3–2.7 настоящего Инструмента), предусматривающее встречу российских Организаций с потенциальными иностранными покупателями, в рамках межрегиональной кооперации Субъектов.</w:t>
      </w:r>
    </w:p>
    <w:p>
      <w:pPr>
        <w:pStyle w:val="14"/>
        <w:shd w:val="clear" w:color="auto" w:fill="auto"/>
        <w:spacing w:before="0" w:after="102"/>
        <w:rPr>
          <w:color w:val="auto"/>
          <w:highlight w:val="white"/>
        </w:rPr>
      </w:pPr>
      <w:r>
        <w:rPr>
          <w:color w:val="auto"/>
          <w:highlight w:val="white"/>
        </w:rPr>
        <w:t>10.3.</w:t>
        <w:tab/>
        <w:t>Уровень 3:</w:t>
      </w:r>
    </w:p>
    <w:p>
      <w:pPr>
        <w:pStyle w:val="14"/>
        <w:numPr>
          <w:ilvl w:val="0"/>
          <w:numId w:val="31"/>
        </w:numPr>
        <w:shd w:val="clear" w:color="auto" w:fill="auto"/>
        <w:spacing w:before="0" w:after="0"/>
        <w:ind w:hanging="425" w:left="425"/>
        <w:rPr>
          <w:color w:val="auto"/>
          <w:highlight w:val="white"/>
        </w:rPr>
      </w:pPr>
      <w:r>
        <w:rPr>
          <w:color w:val="auto"/>
        </w:rPr>
        <w:t>П</w:t>
      </w:r>
      <w:r>
        <w:rPr>
          <w:color w:val="auto"/>
          <w:highlight w:val="white"/>
        </w:rPr>
        <w:t>лан поддержки включает оказание в отчетном году не менее 10 типов мер государственной поддержки экспорта из указанных в п. 2 настоящего Инструмента;</w:t>
      </w:r>
    </w:p>
    <w:p>
      <w:pPr>
        <w:pStyle w:val="14"/>
        <w:numPr>
          <w:ilvl w:val="0"/>
          <w:numId w:val="85"/>
        </w:numPr>
        <w:shd w:val="clear" w:color="auto" w:fill="auto"/>
        <w:spacing w:before="0" w:after="0"/>
        <w:ind w:hanging="425" w:left="425"/>
        <w:rPr>
          <w:color w:val="auto"/>
          <w:highlight w:val="white"/>
        </w:rPr>
      </w:pPr>
      <w:r>
        <w:rPr>
          <w:color w:val="auto"/>
          <w:highlight w:val="white"/>
        </w:rPr>
        <w:t>каждый показатель Плана поддержки, утвержденный на отчетный год, исполнен не менее чем на 100% до 1 декабря отчетного года;</w:t>
      </w:r>
    </w:p>
    <w:p>
      <w:pPr>
        <w:pStyle w:val="14"/>
        <w:numPr>
          <w:ilvl w:val="0"/>
          <w:numId w:val="86"/>
        </w:numPr>
        <w:shd w:val="clear" w:color="auto" w:fill="auto"/>
        <w:spacing w:before="0" w:after="102"/>
        <w:ind w:hanging="425" w:left="425"/>
        <w:rPr>
          <w:color w:val="auto"/>
          <w:highlight w:val="white"/>
        </w:rPr>
      </w:pPr>
      <w:r>
        <w:rPr>
          <w:color w:val="auto"/>
          <w:highlight w:val="white"/>
        </w:rPr>
        <w:t>в отчетном году проведены не менее чем два мероприятия (оказаны меры государственной поддержки из указанных в подп. 2.3–2.7 настоящего Инструмента), предусматривающие встречу российских Организаций с потенциальными иностранными покупателями, в рамках межрегиональной кооперации Субъектов</w:t>
      </w:r>
      <w:r>
        <w:rPr>
          <w:color w:val="auto"/>
        </w:rPr>
        <w:t>, в каждом из которых приняли участие не менее 10 (десяти) Субъектов</w:t>
      </w:r>
      <w:r>
        <w:rPr>
          <w:color w:val="auto"/>
          <w:highlight w:val="white"/>
        </w:rPr>
        <w:t>.</w:t>
      </w:r>
    </w:p>
    <w:p>
      <w:pPr>
        <w:sectPr>
          <w:headerReference w:type="even" r:id="rId32"/>
          <w:headerReference w:type="default" r:id="rId33"/>
          <w:headerReference w:type="first" r:id="rId34"/>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0"/>
        <w:rPr>
          <w:color w:val="auto"/>
          <w:highlight w:val="white"/>
        </w:rPr>
      </w:pPr>
      <w:r>
        <w:rPr>
          <w:color w:val="auto"/>
          <w:highlight w:val="white"/>
        </w:rPr>
      </w:r>
    </w:p>
    <w:p>
      <w:pPr>
        <w:pStyle w:val="27"/>
        <w:keepNext w:val="true"/>
        <w:keepLines/>
        <w:shd w:val="clear" w:color="auto" w:fill="auto"/>
        <w:tabs>
          <w:tab w:val="clear" w:pos="709"/>
          <w:tab w:val="left" w:pos="355" w:leader="none"/>
        </w:tabs>
        <w:rPr>
          <w:color w:val="auto"/>
          <w:highlight w:val="white"/>
        </w:rPr>
      </w:pPr>
      <w:bookmarkStart w:id="10" w:name="bookmark10"/>
      <w:r>
        <w:rPr>
          <w:color w:val="auto"/>
          <w:highlight w:val="white"/>
        </w:rPr>
        <w:t>Инструмент 8. Цифровизация мер поддержки экспорта</w:t>
      </w:r>
      <w:bookmarkEnd w:id="10"/>
    </w:p>
    <w:p>
      <w:pPr>
        <w:pStyle w:val="14"/>
        <w:shd w:val="clear" w:color="auto" w:fill="auto"/>
        <w:rPr>
          <w:color w:val="auto"/>
          <w:highlight w:val="white"/>
        </w:rPr>
      </w:pPr>
      <w:r>
        <w:rPr>
          <w:color w:val="auto"/>
          <w:highlight w:val="white"/>
        </w:rPr>
        <w:t>1.</w:t>
        <w:tab/>
        <w:t>Субъекту рекомендуется обеспечить привлечение экспортеров и экспортно ориентированных Организаций получать цифровые услуги и иные инструменты, направленные на поддержку внешнеторговой деятельности, посредством ИС «Одно окно».</w:t>
      </w:r>
    </w:p>
    <w:p>
      <w:pPr>
        <w:pStyle w:val="14"/>
        <w:shd w:val="clear" w:color="auto" w:fill="auto"/>
        <w:rPr>
          <w:color w:val="auto"/>
          <w:highlight w:val="white"/>
        </w:rPr>
      </w:pPr>
      <w:r>
        <w:rPr>
          <w:color w:val="auto"/>
          <w:highlight w:val="white"/>
        </w:rPr>
        <w:t>2.</w:t>
        <w:tab/>
        <w:t>В Субъекте рекомендовано сформировать и утвердить План цифровизации мер поддержки экспорта (далее – План цифровизации) по годам до 2030 года (с учетом положений Цифрового стандарта предоставления региональных услуг и мер поддержки в сфере экспорта</w:t>
      </w:r>
      <w:r>
        <w:rPr>
          <w:rStyle w:val="FootnoteReference"/>
          <w:color w:val="auto"/>
          <w:highlight w:val="white"/>
        </w:rPr>
        <w:footnoteReference w:id="11"/>
      </w:r>
      <w:r>
        <w:rPr>
          <w:color w:val="auto"/>
          <w:highlight w:val="white"/>
        </w:rPr>
        <w:t>, при условии его утверждения и введения в действие), включающий в том числе мероприятия:</w:t>
      </w:r>
    </w:p>
    <w:p>
      <w:pPr>
        <w:pStyle w:val="14"/>
        <w:shd w:val="clear" w:color="auto" w:fill="auto"/>
        <w:rPr>
          <w:color w:val="auto"/>
          <w:highlight w:val="white"/>
        </w:rPr>
      </w:pPr>
      <w:r>
        <w:rPr>
          <w:color w:val="auto"/>
          <w:highlight w:val="white"/>
        </w:rPr>
        <w:t>2.1.</w:t>
        <w:tab/>
        <w:t>Создание в Субъекте цифровой платформы: сайт, портал или специализированный раздел по экспорту на действующем интернет-ресурсе, посвященном развитию экономики Субъекта</w:t>
      </w:r>
      <w:r>
        <w:rPr>
          <w:rStyle w:val="FootnoteReference"/>
          <w:color w:val="auto"/>
          <w:highlight w:val="white"/>
        </w:rPr>
        <w:footnoteReference w:id="12"/>
      </w:r>
      <w:r>
        <w:rPr>
          <w:color w:val="auto"/>
          <w:highlight w:val="white"/>
        </w:rPr>
        <w:t>.</w:t>
      </w:r>
    </w:p>
    <w:p>
      <w:pPr>
        <w:pStyle w:val="14"/>
        <w:shd w:val="clear" w:color="auto" w:fill="auto"/>
        <w:rPr>
          <w:color w:val="auto"/>
          <w:highlight w:val="white"/>
        </w:rPr>
      </w:pPr>
      <w:r>
        <w:rPr>
          <w:color w:val="auto"/>
          <w:highlight w:val="white"/>
        </w:rPr>
        <w:t>2.2.</w:t>
        <w:tab/>
        <w:t>Интеграция цифровой платформы Субъекта с ИС «Одно окно»:</w:t>
      </w:r>
    </w:p>
    <w:p>
      <w:pPr>
        <w:pStyle w:val="14"/>
        <w:numPr>
          <w:ilvl w:val="0"/>
          <w:numId w:val="78"/>
        </w:numPr>
        <w:shd w:val="clear" w:color="auto" w:fill="auto"/>
        <w:spacing w:before="0" w:after="0"/>
        <w:ind w:hanging="425" w:left="425"/>
        <w:rPr>
          <w:color w:val="auto"/>
          <w:highlight w:val="white"/>
        </w:rPr>
      </w:pPr>
      <w:r>
        <w:rPr>
          <w:color w:val="auto"/>
          <w:highlight w:val="white"/>
        </w:rPr>
        <w:t>заключение соглашения с РЭЦ о сотрудничестве в рамках информационного взаимодействия;</w:t>
      </w:r>
    </w:p>
    <w:p>
      <w:pPr>
        <w:pStyle w:val="14"/>
        <w:numPr>
          <w:ilvl w:val="0"/>
          <w:numId w:val="78"/>
        </w:numPr>
        <w:shd w:val="clear" w:color="auto" w:fill="auto"/>
        <w:spacing w:before="0" w:after="0"/>
        <w:ind w:hanging="425" w:left="425"/>
        <w:rPr>
          <w:color w:val="auto"/>
          <w:highlight w:val="white"/>
        </w:rPr>
      </w:pPr>
      <w:r>
        <w:rPr>
          <w:color w:val="auto"/>
          <w:highlight w:val="white"/>
        </w:rPr>
        <w:t>публикация рекомендованных РЭЦ услуг на платформе Субъекта;</w:t>
      </w:r>
    </w:p>
    <w:p>
      <w:pPr>
        <w:pStyle w:val="14"/>
        <w:numPr>
          <w:ilvl w:val="0"/>
          <w:numId w:val="78"/>
        </w:numPr>
        <w:shd w:val="clear" w:color="auto" w:fill="auto"/>
        <w:spacing w:before="0" w:after="102"/>
        <w:ind w:hanging="425" w:left="425"/>
        <w:rPr>
          <w:color w:val="auto"/>
          <w:highlight w:val="white"/>
        </w:rPr>
      </w:pPr>
      <w:r>
        <w:rPr>
          <w:color w:val="auto"/>
          <w:highlight w:val="white"/>
        </w:rPr>
        <w:t>направление перечня мер региональной поддержки экспорта (при наличии) для размещения в ИС «Одно окно».</w:t>
      </w:r>
    </w:p>
    <w:p>
      <w:pPr>
        <w:pStyle w:val="14"/>
        <w:shd w:val="clear" w:color="auto" w:fill="auto"/>
        <w:rPr>
          <w:color w:val="auto"/>
          <w:highlight w:val="white"/>
        </w:rPr>
      </w:pPr>
      <w:r>
        <w:rPr>
          <w:color w:val="auto"/>
          <w:highlight w:val="white"/>
        </w:rPr>
        <w:t>2.3.</w:t>
        <w:tab/>
        <w:t>Предоставление региональных услуг и мер поддержки в сфере экспорта по принципу «одного окна» в цифровом формате с учетом готовности цифровой инфраструктуры поддержки экспорта и бюджетной обеспеченности Субъекта согласно графику поэтапного перехода</w:t>
      </w:r>
      <w:r>
        <w:rPr>
          <w:color w:val="auto"/>
        </w:rPr>
        <w:t>.</w:t>
      </w:r>
    </w:p>
    <w:p>
      <w:pPr>
        <w:pStyle w:val="14"/>
        <w:shd w:val="clear" w:color="auto" w:fill="auto"/>
        <w:rPr>
          <w:color w:val="auto"/>
          <w:highlight w:val="white"/>
        </w:rPr>
      </w:pPr>
      <w:r>
        <w:rPr>
          <w:color w:val="auto"/>
          <w:highlight w:val="white"/>
        </w:rPr>
        <w:t>2.4.</w:t>
        <w:tab/>
        <w:t>Сохранение действующего порядка предоставления региональных услуг и мер поддержки в сфере экспорта в Субъектах, использующих в этих целях собственную цифровую инфраструктуру.</w:t>
      </w:r>
    </w:p>
    <w:p>
      <w:pPr>
        <w:pStyle w:val="14"/>
        <w:shd w:val="clear" w:color="auto" w:fill="auto"/>
        <w:rPr>
          <w:color w:val="auto"/>
          <w:highlight w:val="white"/>
        </w:rPr>
      </w:pPr>
      <w:r>
        <w:rPr>
          <w:color w:val="auto"/>
          <w:highlight w:val="white"/>
        </w:rPr>
        <w:t>2.5.</w:t>
        <w:tab/>
        <w:t>Обеспечение доступа Организаций Субъекта к оцифрованным услугам ЦПЭ в ИС «Одно окно», на которые предусмотрено финансирование, и поддержание доступности услуг в актуальном состоянии.</w:t>
      </w:r>
    </w:p>
    <w:p>
      <w:pPr>
        <w:pStyle w:val="14"/>
        <w:shd w:val="clear" w:color="auto" w:fill="auto"/>
        <w:rPr>
          <w:color w:val="auto"/>
          <w:highlight w:val="white"/>
        </w:rPr>
      </w:pPr>
      <w:r>
        <w:rPr>
          <w:color w:val="auto"/>
          <w:highlight w:val="white"/>
        </w:rPr>
        <w:t>2.6.</w:t>
        <w:tab/>
        <w:t>Мониторинг количества Организаций Субъекта, зарегистрированных и получивших услуги в ИС «Одно окно», в том числе региональных услуг, и обеспечение их прироста.</w:t>
      </w:r>
    </w:p>
    <w:p>
      <w:pPr>
        <w:pStyle w:val="14"/>
        <w:shd w:val="clear" w:color="auto" w:fill="auto"/>
        <w:rPr>
          <w:color w:val="auto"/>
          <w:highlight w:val="white"/>
        </w:rPr>
      </w:pPr>
      <w:r>
        <w:rPr>
          <w:color w:val="auto"/>
          <w:highlight w:val="white"/>
        </w:rPr>
        <w:t>3.</w:t>
        <w:tab/>
        <w:t>В План цифровизации рекомендуется включить следующие показатели:</w:t>
      </w:r>
    </w:p>
    <w:p>
      <w:pPr>
        <w:pStyle w:val="14"/>
        <w:numPr>
          <w:ilvl w:val="0"/>
          <w:numId w:val="20"/>
        </w:numPr>
        <w:shd w:val="clear" w:color="auto" w:fill="auto"/>
        <w:spacing w:before="0" w:after="0"/>
        <w:ind w:hanging="425" w:left="425"/>
        <w:rPr>
          <w:color w:val="auto"/>
          <w:highlight w:val="white"/>
        </w:rPr>
      </w:pPr>
      <w:r>
        <w:rPr>
          <w:color w:val="auto"/>
          <w:highlight w:val="white"/>
        </w:rPr>
        <w:t>всего Организаций Субъекта, зарегистрированных в ИС «Одно окно» нарастающим итогом на конец отчетного года (ед.);</w:t>
      </w:r>
    </w:p>
    <w:p>
      <w:pPr>
        <w:pStyle w:val="14"/>
        <w:numPr>
          <w:ilvl w:val="0"/>
          <w:numId w:val="20"/>
        </w:numPr>
        <w:shd w:val="clear" w:color="auto" w:fill="auto"/>
        <w:spacing w:before="0" w:after="0"/>
        <w:ind w:hanging="425" w:left="425"/>
        <w:rPr>
          <w:color w:val="auto"/>
          <w:highlight w:val="white"/>
        </w:rPr>
      </w:pPr>
      <w:r>
        <w:rPr>
          <w:color w:val="auto"/>
          <w:highlight w:val="white"/>
        </w:rPr>
        <w:t>прирост количества Организаций Субъекта, зарегистрированных в ИС «Одно окно», нарастающим итогом на конец отчетного года к прошлому году (%);</w:t>
      </w:r>
    </w:p>
    <w:p>
      <w:pPr>
        <w:pStyle w:val="14"/>
        <w:numPr>
          <w:ilvl w:val="0"/>
          <w:numId w:val="20"/>
        </w:numPr>
        <w:shd w:val="clear" w:color="auto" w:fill="auto"/>
        <w:spacing w:before="0" w:after="0"/>
        <w:ind w:hanging="425" w:left="425"/>
        <w:rPr>
          <w:color w:val="auto"/>
          <w:highlight w:val="white"/>
        </w:rPr>
      </w:pPr>
      <w:r>
        <w:rPr>
          <w:color w:val="auto"/>
          <w:highlight w:val="white"/>
        </w:rPr>
        <w:t>всего Организаций Субъекта, получивших одну и более услуг в ИС «Одно окно», в отчетном году (ед.);</w:t>
      </w:r>
    </w:p>
    <w:p>
      <w:pPr>
        <w:pStyle w:val="14"/>
        <w:numPr>
          <w:ilvl w:val="0"/>
          <w:numId w:val="20"/>
        </w:numPr>
        <w:shd w:val="clear" w:color="auto" w:fill="auto"/>
        <w:ind w:hanging="425" w:left="425"/>
        <w:rPr>
          <w:color w:val="auto"/>
          <w:highlight w:val="white"/>
        </w:rPr>
      </w:pPr>
      <w:r>
        <w:rPr>
          <w:color w:val="auto"/>
          <w:highlight w:val="white"/>
        </w:rPr>
        <w:t>прирост количества Организаций Субъекта, получивших одну и более услуг в ИС «Одно окно», в отчетном году к прошлому году (%).</w:t>
      </w:r>
    </w:p>
    <w:p>
      <w:pPr>
        <w:pStyle w:val="14"/>
        <w:shd w:val="clear" w:color="auto" w:fill="auto"/>
        <w:rPr>
          <w:color w:val="auto"/>
        </w:rPr>
      </w:pPr>
      <w:r>
        <w:rPr>
          <w:color w:val="auto"/>
          <w:highlight w:val="white"/>
        </w:rPr>
        <w:t>4.</w:t>
        <w:tab/>
        <w:t>План цифровизации Субъекта</w:t>
      </w:r>
      <w:r>
        <w:rPr>
          <w:color w:val="auto"/>
        </w:rPr>
        <w:t xml:space="preserve"> </w:t>
      </w:r>
      <w:r>
        <w:rPr>
          <w:color w:val="auto"/>
          <w:highlight w:val="white"/>
        </w:rPr>
        <w:t>может быть разработан в одной из следующих форм по усмотрению Субъекта:</w:t>
      </w:r>
    </w:p>
    <w:p>
      <w:pPr>
        <w:pStyle w:val="14"/>
        <w:numPr>
          <w:ilvl w:val="0"/>
          <w:numId w:val="128"/>
        </w:numPr>
        <w:shd w:val="clear" w:color="auto" w:fill="auto"/>
        <w:spacing w:before="0" w:after="0"/>
        <w:ind w:hanging="425" w:left="425"/>
        <w:rPr>
          <w:color w:val="auto"/>
        </w:rPr>
      </w:pPr>
      <w:r>
        <w:rPr>
          <w:color w:val="auto"/>
          <w:highlight w:val="white"/>
        </w:rPr>
        <w:t>как раздел Региональной программы Субъекта либо её приложения;</w:t>
      </w:r>
    </w:p>
    <w:p>
      <w:pPr>
        <w:pStyle w:val="14"/>
        <w:numPr>
          <w:ilvl w:val="0"/>
          <w:numId w:val="128"/>
        </w:numPr>
        <w:shd w:val="clear" w:color="auto" w:fill="auto"/>
        <w:spacing w:before="0" w:after="0"/>
        <w:ind w:hanging="425" w:left="425"/>
        <w:rPr>
          <w:color w:val="auto"/>
        </w:rPr>
      </w:pPr>
      <w:r>
        <w:rPr>
          <w:color w:val="auto"/>
          <w:highlight w:val="white"/>
        </w:rPr>
        <w:t>как отдельное приложение к Региональной программе;</w:t>
      </w:r>
    </w:p>
    <w:p>
      <w:pPr>
        <w:pStyle w:val="14"/>
        <w:numPr>
          <w:ilvl w:val="0"/>
          <w:numId w:val="128"/>
        </w:numPr>
        <w:shd w:val="clear" w:color="auto" w:fill="auto"/>
        <w:ind w:hanging="425" w:left="425"/>
        <w:rPr>
          <w:color w:val="auto"/>
          <w:highlight w:val="white"/>
        </w:rPr>
      </w:pPr>
      <w:r>
        <w:rPr>
          <w:color w:val="auto"/>
          <w:highlight w:val="white"/>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14"/>
        <w:shd w:val="clear" w:color="auto" w:fill="auto"/>
        <w:rPr>
          <w:color w:val="auto"/>
          <w:highlight w:val="white"/>
        </w:rPr>
      </w:pPr>
      <w:r>
        <w:rPr>
          <w:color w:val="auto"/>
        </w:rPr>
        <w:t>5.</w:t>
        <w:tab/>
      </w:r>
      <w:r>
        <w:rPr>
          <w:color w:val="auto"/>
          <w:highlight w:val="white"/>
        </w:rPr>
        <w:t xml:space="preserve">Субъекту рекомендуется проводить мероприятия по информированию Организаций </w:t>
        <w:br/>
        <w:t>о доступных в ИС «Одно окно» услугах по поддержке внешнеторговой деятельности, а также об алгоритмах работы в системе путем размещения информации и ссылки на ИС «Одно окно» на всех информационных ресурсах Субъекта, направленных на развитие предпринимательства и внешнеторговой деятельности.</w:t>
      </w:r>
    </w:p>
    <w:p>
      <w:pPr>
        <w:pStyle w:val="14"/>
        <w:shd w:val="clear" w:color="auto" w:fill="auto"/>
        <w:rPr>
          <w:color w:val="auto"/>
          <w:highlight w:val="white"/>
        </w:rPr>
      </w:pPr>
      <w:r>
        <w:rPr>
          <w:color w:val="auto"/>
        </w:rPr>
        <w:t>6</w:t>
      </w:r>
      <w:r>
        <w:rPr>
          <w:color w:val="auto"/>
          <w:highlight w:val="white"/>
        </w:rPr>
        <w:t>.</w:t>
        <w:tab/>
        <w:t>Субъекту рекомендовано обеспечить размещение информации о предоставляемых региональных услугах и мерах поддержки внешнеторговой деятельности, в том числе экспорта, в едином каталоге государственных услуг, исполнения государственных функций, предоставления иных услуг в сфере внешнеторговой деятельности, предоставляемых на федеральном и региональном уровнях (далее – Единый каталог услуг) в ИС «Одно окно» в соответствии с положениями постановления Правительства Российской Федерации от 28.01.2022 № 65 «О порядке функционирования информационной системы «Одно окно» в сфере внешнеторговой деятельности».</w:t>
      </w:r>
    </w:p>
    <w:p>
      <w:pPr>
        <w:pStyle w:val="14"/>
        <w:shd w:val="clear" w:color="auto" w:fill="auto"/>
        <w:rPr>
          <w:color w:val="auto"/>
        </w:rPr>
      </w:pPr>
      <w:r>
        <w:rPr>
          <w:color w:val="auto"/>
        </w:rPr>
        <w:t>7</w:t>
      </w:r>
      <w:r>
        <w:rPr>
          <w:color w:val="auto"/>
          <w:highlight w:val="white"/>
        </w:rPr>
        <w:t>.</w:t>
        <w:tab/>
        <w:t xml:space="preserve">Субъекту рекомендуется проводить проверку актуальности информации по услугам и мерам поддержки Субъекта в Едином каталоге услуг. В случае обновления информации по услуге/мере поддержки необходимо оперативно проинформировать РЭЦ об изменениях. </w:t>
      </w:r>
    </w:p>
    <w:p>
      <w:pPr>
        <w:pStyle w:val="14"/>
        <w:shd w:val="clear" w:color="auto" w:fill="auto"/>
        <w:rPr>
          <w:color w:val="auto"/>
          <w:highlight w:val="white"/>
        </w:rPr>
      </w:pPr>
      <w:r>
        <w:rPr>
          <w:color w:val="auto"/>
          <w:highlight w:val="white"/>
        </w:rPr>
        <w:t>8.</w:t>
        <w:tab/>
        <w:t>Субъекту рекомендовано ежегодно до 20 декабря отчётного года формировать, утверждать и направлять в Систему отчёт об исполнении Плана цифровизации.</w:t>
      </w:r>
    </w:p>
    <w:p>
      <w:pPr>
        <w:pStyle w:val="14"/>
        <w:shd w:val="clear" w:color="auto" w:fill="auto"/>
        <w:rPr>
          <w:color w:val="auto"/>
          <w:highlight w:val="white"/>
        </w:rPr>
      </w:pPr>
      <w:r>
        <w:rPr>
          <w:color w:val="auto"/>
          <w:highlight w:val="white"/>
        </w:rPr>
        <w:t>Форма утверждения отчёта определяется Субъектом самостоятельно из вариантов:</w:t>
      </w:r>
    </w:p>
    <w:p>
      <w:pPr>
        <w:pStyle w:val="14"/>
        <w:numPr>
          <w:ilvl w:val="0"/>
          <w:numId w:val="129"/>
        </w:numPr>
        <w:shd w:val="clear" w:color="auto" w:fill="auto"/>
        <w:spacing w:before="0" w:after="0"/>
        <w:ind w:hanging="425" w:left="425"/>
        <w:rPr>
          <w:color w:val="auto"/>
          <w:highlight w:val="white"/>
        </w:rPr>
      </w:pPr>
      <w:r>
        <w:rPr>
          <w:color w:val="auto"/>
          <w:highlight w:val="white"/>
        </w:rPr>
        <w:t>утвердительная надпись руководителя РОИВ-координатора либо профильного РОИВ, ответственного за реализацию настоящего Инструмента;</w:t>
      </w:r>
    </w:p>
    <w:p>
      <w:pPr>
        <w:pStyle w:val="14"/>
        <w:numPr>
          <w:ilvl w:val="0"/>
          <w:numId w:val="129"/>
        </w:numPr>
        <w:shd w:val="clear" w:color="auto" w:fill="auto"/>
        <w:spacing w:before="0" w:after="0"/>
        <w:ind w:hanging="425" w:left="425"/>
        <w:rPr>
          <w:color w:val="auto"/>
          <w:highlight w:val="white"/>
        </w:rPr>
      </w:pPr>
      <w:r>
        <w:rPr>
          <w:color w:val="auto"/>
          <w:highlight w:val="white"/>
        </w:rPr>
        <w:t>нормативно-правовой акт РОИВ-координатора либо профильного РОИВ, ответственного за реализацию настоящего Инструмента;</w:t>
      </w:r>
    </w:p>
    <w:p>
      <w:pPr>
        <w:pStyle w:val="14"/>
        <w:numPr>
          <w:ilvl w:val="0"/>
          <w:numId w:val="129"/>
        </w:numPr>
        <w:shd w:val="clear" w:color="auto" w:fill="auto"/>
        <w:ind w:hanging="425" w:left="425"/>
        <w:rPr>
          <w:color w:val="auto"/>
          <w:highlight w:val="white"/>
        </w:rPr>
      </w:pPr>
      <w:r>
        <w:rPr>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rPr>
          <w:color w:val="auto"/>
          <w:highlight w:val="white"/>
        </w:rPr>
      </w:pPr>
      <w:r>
        <w:rPr>
          <w:color w:val="auto"/>
          <w:highlight w:val="white"/>
        </w:rPr>
        <w:t>9.</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9.1.</w:t>
        <w:tab/>
        <w:t>Уровень 1:</w:t>
      </w:r>
    </w:p>
    <w:p>
      <w:pPr>
        <w:pStyle w:val="14"/>
        <w:numPr>
          <w:ilvl w:val="0"/>
          <w:numId w:val="95"/>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56"/>
        </w:numPr>
        <w:shd w:val="clear" w:color="auto" w:fill="auto"/>
        <w:spacing w:before="0" w:after="0"/>
        <w:ind w:hanging="425" w:left="425"/>
        <w:rPr>
          <w:color w:val="auto"/>
          <w:highlight w:val="white"/>
        </w:rPr>
      </w:pPr>
      <w:r>
        <w:rPr>
          <w:color w:val="auto"/>
          <w:highlight w:val="white"/>
        </w:rPr>
        <w:t>План цифровизации Субъекта разработан и утвержден;</w:t>
      </w:r>
    </w:p>
    <w:p>
      <w:pPr>
        <w:pStyle w:val="14"/>
        <w:numPr>
          <w:ilvl w:val="0"/>
          <w:numId w:val="56"/>
        </w:numPr>
        <w:shd w:val="clear" w:color="auto" w:fill="auto"/>
        <w:spacing w:before="0" w:after="0"/>
        <w:ind w:hanging="425" w:left="425"/>
        <w:rPr>
          <w:color w:val="auto"/>
          <w:highlight w:val="white"/>
        </w:rPr>
      </w:pPr>
      <w:r>
        <w:rPr>
          <w:color w:val="auto"/>
        </w:rPr>
        <w:t xml:space="preserve">отчёт об исполнении </w:t>
      </w:r>
      <w:r>
        <w:rPr>
          <w:color w:val="auto"/>
          <w:highlight w:val="white"/>
        </w:rPr>
        <w:t>Плана цифровизации</w:t>
      </w:r>
      <w:r>
        <w:rPr>
          <w:color w:val="auto"/>
        </w:rPr>
        <w:t xml:space="preserve"> предоставлен в Систему (согласован экспертом РЭЦ) до 20 декабря отчетного года;</w:t>
      </w:r>
    </w:p>
    <w:p>
      <w:pPr>
        <w:pStyle w:val="14"/>
        <w:numPr>
          <w:ilvl w:val="0"/>
          <w:numId w:val="34"/>
        </w:numPr>
        <w:shd w:val="clear" w:color="auto" w:fill="auto"/>
        <w:spacing w:before="0" w:after="0"/>
        <w:ind w:hanging="425" w:left="425"/>
        <w:rPr>
          <w:color w:val="auto"/>
          <w:highlight w:val="white"/>
        </w:rPr>
      </w:pPr>
      <w:r>
        <w:rPr>
          <w:color w:val="auto"/>
          <w:highlight w:val="white"/>
        </w:rPr>
        <w:t>количество мероприятий и каждый показатель Плана цифровизации в отчетном году и выполнены не менее чем на 80% до 20 декабря отчетного года;</w:t>
      </w:r>
    </w:p>
    <w:p>
      <w:pPr>
        <w:pStyle w:val="14"/>
        <w:numPr>
          <w:ilvl w:val="0"/>
          <w:numId w:val="34"/>
        </w:numPr>
        <w:shd w:val="clear" w:color="auto" w:fill="auto"/>
        <w:ind w:hanging="425" w:left="425"/>
        <w:rPr>
          <w:color w:val="auto"/>
          <w:highlight w:val="white"/>
        </w:rPr>
      </w:pPr>
      <w:r>
        <w:rPr>
          <w:color w:val="auto"/>
          <w:highlight w:val="white"/>
        </w:rPr>
        <w:t>в отчетном году обеспечен прирост количества Организаций Субъекта, зарегистрированных в ИС «Одно окно»</w:t>
      </w:r>
      <w:r>
        <w:rPr>
          <w:color w:val="auto"/>
        </w:rPr>
        <w:t xml:space="preserve">, </w:t>
      </w:r>
      <w:r>
        <w:rPr>
          <w:color w:val="auto"/>
          <w:highlight w:val="white"/>
        </w:rPr>
        <w:t>к показателю предыдущего года</w:t>
      </w:r>
      <w:r>
        <w:rPr>
          <w:color w:val="auto"/>
        </w:rPr>
        <w:t xml:space="preserve"> и </w:t>
      </w:r>
      <w:r>
        <w:rPr>
          <w:color w:val="auto"/>
          <w:highlight w:val="white"/>
        </w:rPr>
        <w:t>прирост количества Организаций Субъекта,</w:t>
      </w:r>
      <w:r>
        <w:rPr>
          <w:color w:val="auto"/>
        </w:rPr>
        <w:t xml:space="preserve"> </w:t>
      </w:r>
      <w:r>
        <w:rPr>
          <w:color w:val="auto"/>
          <w:highlight w:val="white"/>
        </w:rPr>
        <w:t>получивших одну и более услуг в ИС «Одно окно», к показателю предыдущего года.</w:t>
      </w:r>
    </w:p>
    <w:p>
      <w:pPr>
        <w:pStyle w:val="14"/>
        <w:shd w:val="clear" w:color="auto" w:fill="auto"/>
        <w:spacing w:before="0" w:after="120"/>
        <w:rPr>
          <w:color w:val="auto"/>
          <w:highlight w:val="white"/>
        </w:rPr>
      </w:pPr>
      <w:r>
        <w:rPr>
          <w:color w:val="auto"/>
          <w:highlight w:val="white"/>
        </w:rPr>
        <w:t>9.2.</w:t>
        <w:tab/>
        <w:t xml:space="preserve">Уровень 2: </w:t>
      </w:r>
    </w:p>
    <w:p>
      <w:pPr>
        <w:pStyle w:val="14"/>
        <w:numPr>
          <w:ilvl w:val="0"/>
          <w:numId w:val="33"/>
        </w:numPr>
        <w:shd w:val="clear" w:color="auto" w:fill="auto"/>
        <w:spacing w:before="0" w:after="0"/>
        <w:ind w:hanging="425" w:left="425"/>
        <w:rPr>
          <w:color w:val="auto"/>
          <w:highlight w:val="white"/>
        </w:rPr>
      </w:pPr>
      <w:r>
        <w:rPr>
          <w:color w:val="auto"/>
          <w:highlight w:val="white"/>
        </w:rPr>
        <w:t>количество мероприятий и каждый показатель Плана цифровизации в отчетном году и выполнены не менее чем на 100% до 20 декабря отчетного года;</w:t>
      </w:r>
    </w:p>
    <w:p>
      <w:pPr>
        <w:pStyle w:val="14"/>
        <w:numPr>
          <w:ilvl w:val="0"/>
          <w:numId w:val="33"/>
        </w:numPr>
        <w:shd w:val="clear" w:color="auto" w:fill="auto"/>
        <w:spacing w:before="0" w:after="0"/>
        <w:ind w:hanging="425" w:left="425"/>
        <w:rPr>
          <w:color w:val="auto"/>
          <w:highlight w:val="white"/>
        </w:rPr>
      </w:pPr>
      <w:r>
        <w:rPr>
          <w:color w:val="auto"/>
          <w:highlight w:val="white"/>
        </w:rPr>
        <w:t>проведена интеграция цифровой платформы Субъекта с ИС «Одно окно» (подп. 2.2 настоящего Инструмента);</w:t>
      </w:r>
    </w:p>
    <w:p>
      <w:pPr>
        <w:pStyle w:val="14"/>
        <w:numPr>
          <w:ilvl w:val="0"/>
          <w:numId w:val="33"/>
        </w:numPr>
        <w:shd w:val="clear" w:color="auto" w:fill="auto"/>
        <w:spacing w:before="0" w:after="102"/>
        <w:ind w:hanging="425" w:left="425"/>
        <w:rPr>
          <w:color w:val="auto"/>
          <w:highlight w:val="white"/>
        </w:rPr>
      </w:pPr>
      <w:r>
        <w:rPr>
          <w:color w:val="auto"/>
          <w:highlight w:val="white"/>
        </w:rPr>
        <w:t>в отчетном году обеспечен прирост количества Организаций Субъекта, зарегистрированных в ИС «Одно окно», не менее 10% от показателя предыдущего года и прирост количества Организаций Субъекта, получивших одну и более услуг в ИС «Одно окно», не менее 10% от показателя предыдущего года.</w:t>
      </w:r>
    </w:p>
    <w:p>
      <w:pPr>
        <w:pStyle w:val="14"/>
        <w:shd w:val="clear" w:color="auto" w:fill="auto"/>
        <w:spacing w:before="0" w:after="0"/>
        <w:rPr>
          <w:color w:val="auto"/>
          <w:highlight w:val="white"/>
        </w:rPr>
      </w:pPr>
      <w:r>
        <w:rPr>
          <w:color w:val="auto"/>
          <w:highlight w:val="white"/>
        </w:rPr>
        <w:t>9.3.</w:t>
        <w:tab/>
        <w:t>Уровень 3:</w:t>
      </w:r>
    </w:p>
    <w:p>
      <w:pPr>
        <w:pStyle w:val="14"/>
        <w:numPr>
          <w:ilvl w:val="0"/>
          <w:numId w:val="55"/>
        </w:numPr>
        <w:shd w:val="clear" w:color="auto" w:fill="auto"/>
        <w:spacing w:before="0" w:after="0"/>
        <w:ind w:hanging="425" w:left="425"/>
        <w:rPr>
          <w:color w:val="auto"/>
          <w:highlight w:val="white"/>
        </w:rPr>
      </w:pPr>
      <w:r>
        <w:rPr>
          <w:color w:val="auto"/>
          <w:highlight w:val="white"/>
        </w:rPr>
        <w:t>региональные услуги и меры поддержки в сфере экспорта предоставляются по принципу «одного окна» в цифровом формате с учетом готовности цифровой инфраструктуры поддержки экспорта и бюджетной обеспеченности Субъекта (подп. 2.3 настоящего Инструмента);</w:t>
      </w:r>
    </w:p>
    <w:p>
      <w:pPr>
        <w:pStyle w:val="14"/>
        <w:numPr>
          <w:ilvl w:val="0"/>
          <w:numId w:val="55"/>
        </w:numPr>
        <w:shd w:val="clear" w:color="auto" w:fill="auto"/>
        <w:ind w:hanging="425" w:left="425"/>
        <w:rPr>
          <w:color w:val="auto"/>
          <w:highlight w:val="white"/>
        </w:rPr>
      </w:pPr>
      <w:r>
        <w:rPr>
          <w:color w:val="auto"/>
          <w:highlight w:val="white"/>
        </w:rPr>
        <w:t>в отчетном году обеспечен прирост количества Организаций Субъекта, зарегистрированных в ИС «Одно окно», не менее 30% от показателя предыдущего года</w:t>
      </w:r>
      <w:r>
        <w:rPr>
          <w:color w:val="auto"/>
        </w:rPr>
        <w:t xml:space="preserve"> </w:t>
      </w:r>
      <w:r>
        <w:rPr>
          <w:color w:val="auto"/>
          <w:highlight w:val="white"/>
        </w:rPr>
        <w:t>и прирост количества Организаций Субъекта, получивших одну и более услуг в ИС «Одно окно», не менее 30% от показателя предыдущего года.</w:t>
      </w:r>
    </w:p>
    <w:p>
      <w:pPr>
        <w:sectPr>
          <w:headerReference w:type="even" r:id="rId35"/>
          <w:headerReference w:type="default" r:id="rId36"/>
          <w:headerReference w:type="first" r:id="rId37"/>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25"/>
        <w:numPr>
          <w:ilvl w:val="0"/>
          <w:numId w:val="15"/>
        </w:numPr>
        <w:shd w:val="clear" w:color="auto" w:fill="auto"/>
        <w:tabs>
          <w:tab w:val="clear" w:pos="709"/>
          <w:tab w:val="left" w:pos="1525" w:leader="none"/>
        </w:tabs>
        <w:spacing w:before="0" w:after="0"/>
        <w:ind w:left="567" w:right="709"/>
        <w:jc w:val="center"/>
        <w:rPr>
          <w:color w:val="auto"/>
          <w:highlight w:val="white"/>
        </w:rPr>
      </w:pPr>
      <w:r>
        <w:rPr>
          <w:b/>
          <w:bCs/>
          <w:color w:val="auto"/>
          <w:highlight w:val="white"/>
        </w:rPr>
        <w:t>Формирование кадрового обеспечения для развития экспорта в субъекте Российской Федерации</w:t>
      </w:r>
    </w:p>
    <w:p>
      <w:pPr>
        <w:pStyle w:val="Normal"/>
        <w:rPr>
          <w:color w:val="auto"/>
          <w:highlight w:val="white"/>
        </w:rPr>
      </w:pPr>
      <w:r>
        <w:rPr>
          <w:color w:val="auto"/>
          <w:highlight w:val="white"/>
        </w:rPr>
      </w:r>
    </w:p>
    <w:p>
      <w:pPr>
        <w:pStyle w:val="27"/>
        <w:keepNext w:val="true"/>
        <w:keepLines/>
        <w:shd w:val="clear" w:color="auto" w:fill="auto"/>
        <w:tabs>
          <w:tab w:val="clear" w:pos="709"/>
          <w:tab w:val="left" w:pos="303" w:leader="none"/>
        </w:tabs>
        <w:rPr>
          <w:color w:val="auto"/>
          <w:highlight w:val="white"/>
        </w:rPr>
      </w:pPr>
      <w:r>
        <w:rPr>
          <w:color w:val="auto"/>
          <w:highlight w:val="white"/>
        </w:rPr>
        <w:t>Инструмент 9. </w:t>
      </w:r>
      <w:bookmarkStart w:id="11" w:name="bookmark11"/>
      <w:r>
        <w:rPr>
          <w:color w:val="auto"/>
          <w:highlight w:val="white"/>
        </w:rPr>
        <w:t>Обучение управленческой команды субъекта Российской Федерации</w:t>
      </w:r>
      <w:bookmarkEnd w:id="11"/>
    </w:p>
    <w:p>
      <w:pPr>
        <w:pStyle w:val="Default"/>
        <w:spacing w:lineRule="atLeast" w:line="23" w:before="0" w:after="120"/>
        <w:ind w:right="-2"/>
        <w:jc w:val="both"/>
        <w:rPr>
          <w:rFonts w:ascii="Times New Roman" w:hAnsi="Times New Roman" w:cs="Times New Roman"/>
          <w:color w:val="auto"/>
          <w:highlight w:val="white"/>
        </w:rPr>
      </w:pPr>
      <w:r>
        <w:rPr>
          <w:rFonts w:cs="Times New Roman" w:ascii="Times New Roman" w:hAnsi="Times New Roman"/>
          <w:color w:val="auto"/>
          <w:highlight w:val="white"/>
        </w:rPr>
        <w:t>1.</w:t>
        <w:tab/>
        <w:t>Управленческой команде Субъекта в целях поддержания и повышения уровня квалификации рекомендовано осуществлять свое профессиональное развитие на регулярной и системной основе (посредством дополнительных профессиональных программ, в том числе программ подтверждения квалификации и иных образовательных и информационных мероприятий, направленных на профессиональное развитие), в частности проходить обучение в целях развития знаний, навыков и компетенций, необходимых управленческим командам для эффективного внедрения инструментов Стандарта, включая обучение по основам внешнеэкономической деятельности, организации экспортной деятельности, особенности мультикультурной коммуникации, проектного управления, стратегического анализа и планирования и тому подобное ежегодно, либо чаще – в случае обновления состава команды более чем на 50%.</w:t>
      </w:r>
    </w:p>
    <w:p>
      <w:pPr>
        <w:pStyle w:val="14"/>
        <w:shd w:val="clear" w:color="auto" w:fill="auto"/>
        <w:rPr>
          <w:color w:val="auto"/>
          <w:highlight w:val="white"/>
        </w:rPr>
      </w:pPr>
      <w:r>
        <w:rPr>
          <w:color w:val="auto"/>
          <w:highlight w:val="white"/>
        </w:rPr>
        <w:t>2.</w:t>
        <w:tab/>
        <w:t>Управленческой команде рекомендуется ежегодно планировать мероприятия по профессиональному развитию каждого её члена.</w:t>
      </w:r>
    </w:p>
    <w:p>
      <w:pPr>
        <w:pStyle w:val="Normal"/>
        <w:spacing w:lineRule="atLeast" w:line="23" w:before="0" w:after="120"/>
        <w:jc w:val="both"/>
        <w:rPr>
          <w:rFonts w:ascii="Times New Roman" w:hAnsi="Times New Roman" w:cs="Times New Roman"/>
          <w:color w:val="auto"/>
          <w:highlight w:val="white"/>
        </w:rPr>
      </w:pPr>
      <w:r>
        <w:rPr>
          <w:rFonts w:cs="Times New Roman" w:ascii="Times New Roman" w:hAnsi="Times New Roman"/>
          <w:color w:val="auto"/>
          <w:highlight w:val="white"/>
        </w:rPr>
        <w:t>3.</w:t>
        <w:tab/>
        <w:t>Профессиональное развитие каждого члена Управленческой команды рекомендуется проводить в следующих формах и сроки:</w:t>
      </w:r>
    </w:p>
    <w:p>
      <w:pPr>
        <w:pStyle w:val="ListParagraph"/>
        <w:numPr>
          <w:ilvl w:val="0"/>
          <w:numId w:val="57"/>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в год включения в Управленческую команду – дополнительное профессиональное образование (далее – ДПО) очно либо дистанционно;</w:t>
      </w:r>
    </w:p>
    <w:p>
      <w:pPr>
        <w:pStyle w:val="ListParagraph"/>
        <w:numPr>
          <w:ilvl w:val="0"/>
          <w:numId w:val="57"/>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во второй и третий год участия в Управленческой команде – повышение уровня компетенций посредством участия в мероприятиях: семинары, тренинги, мастер-классы, круглые столы, конференции, стажировки, иные мероприятия, направленные на приобретение новых знаний и умений либо на изучение передового опыта, лучших практик, включая самостоятельное изучение образовательных материалов, специализированной литературы, образовательных курсов и т.п., очно либо дистанционно;</w:t>
      </w:r>
    </w:p>
    <w:p>
      <w:pPr>
        <w:pStyle w:val="ListParagraph"/>
        <w:numPr>
          <w:ilvl w:val="0"/>
          <w:numId w:val="57"/>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в четвертый год участия в Управленческой команде – подтверждение квалификации по дополнительному профессиональному образованию очно либо дистанционно;</w:t>
      </w:r>
    </w:p>
    <w:p>
      <w:pPr>
        <w:pStyle w:val="ListParagraph"/>
        <w:numPr>
          <w:ilvl w:val="0"/>
          <w:numId w:val="57"/>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в пятый и шестой год участия в Управленческой команде – повышение уровня компетенций посредством участия в мероприятиях: семинары, тренинги, мастер-классы, круглые столы, конференции, стажировки, иные мероприятия, направленные на приобретение новых знаний и умений либо на изучение передового опыта, лучших практик, включая самостоятельное изучение образовательных материалов, специализированной литературы, образовательных курсов и т.п., очно либо дистанционно;</w:t>
      </w:r>
    </w:p>
    <w:p>
      <w:pPr>
        <w:pStyle w:val="ListParagraph"/>
        <w:numPr>
          <w:ilvl w:val="0"/>
          <w:numId w:val="144"/>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в седьмой год участия в Управленческой команде – подтверждение квалификации по дополнительному профессиональному образованию очно либо дистанционно;</w:t>
      </w:r>
    </w:p>
    <w:p>
      <w:pPr>
        <w:pStyle w:val="ListParagraph"/>
        <w:numPr>
          <w:ilvl w:val="0"/>
          <w:numId w:val="57"/>
        </w:numPr>
        <w:spacing w:lineRule="atLeast" w:line="23" w:before="0" w:after="120"/>
        <w:ind w:hanging="425" w:left="425"/>
        <w:contextualSpacing/>
        <w:jc w:val="both"/>
        <w:rPr>
          <w:rFonts w:ascii="Times New Roman" w:hAnsi="Times New Roman" w:cs="Times New Roman"/>
          <w:color w:val="auto"/>
          <w:highlight w:val="white"/>
        </w:rPr>
      </w:pPr>
      <w:r>
        <w:rPr>
          <w:rFonts w:cs="Times New Roman" w:ascii="Times New Roman" w:hAnsi="Times New Roman"/>
          <w:color w:val="auto"/>
        </w:rPr>
        <w:t xml:space="preserve">далее </w:t>
      </w:r>
      <w:r>
        <w:rPr>
          <w:rFonts w:cs="Times New Roman" w:ascii="Times New Roman" w:hAnsi="Times New Roman"/>
          <w:color w:val="auto"/>
          <w:highlight w:val="white"/>
        </w:rPr>
        <w:t xml:space="preserve">– </w:t>
      </w:r>
      <w:r>
        <w:rPr>
          <w:rFonts w:cs="Times New Roman" w:ascii="Times New Roman" w:hAnsi="Times New Roman"/>
          <w:color w:val="auto"/>
        </w:rPr>
        <w:t>по вышеуказанной схеме.</w:t>
      </w:r>
    </w:p>
    <w:p>
      <w:pPr>
        <w:pStyle w:val="Normal"/>
        <w:spacing w:lineRule="atLeast" w:line="23" w:before="0" w:after="120"/>
        <w:jc w:val="both"/>
        <w:rPr>
          <w:rFonts w:ascii="Times New Roman" w:hAnsi="Times New Roman" w:eastAsia="Times New Roman" w:cs="Times New Roman"/>
          <w:color w:val="auto"/>
          <w:highlight w:val="white"/>
        </w:rPr>
      </w:pPr>
      <w:r>
        <w:rPr>
          <w:rFonts w:cs="Times New Roman" w:ascii="Times New Roman" w:hAnsi="Times New Roman"/>
          <w:color w:val="auto"/>
          <w:highlight w:val="white"/>
        </w:rPr>
        <w:t>4.</w:t>
        <w:tab/>
        <w:t>Профессиональное развитие членов Управленческой команды</w:t>
      </w:r>
      <w:r>
        <w:rPr>
          <w:rFonts w:eastAsia="Times New Roman" w:cs="Times New Roman" w:ascii="Times New Roman" w:hAnsi="Times New Roman"/>
          <w:color w:val="auto"/>
          <w:highlight w:val="white"/>
        </w:rPr>
        <w:t xml:space="preserve"> рекомендуется производить на базе вузов, учебных заведений, центров профессиональной подготовки, лицензированных на осуществление образовательной деятельности, в том числе АНО ДПО «Школа экспорта Акционерного общества «Российский экспортный центр», учебных центрах российских деловых объединений (РСПП, Опора России, Деловая Россия, Торгово-промышленная палата России) с выдачей сертификатов, удостоверений, дипломов, свидетельств и иных документов об обучении и участии в мероприятиях.</w:t>
      </w:r>
    </w:p>
    <w:p>
      <w:pPr>
        <w:pStyle w:val="14"/>
        <w:shd w:val="clear" w:color="auto" w:fill="auto"/>
        <w:rPr>
          <w:color w:val="auto"/>
          <w:highlight w:val="white"/>
        </w:rPr>
      </w:pPr>
      <w:r>
        <w:rPr>
          <w:color w:val="auto"/>
          <w:highlight w:val="white"/>
        </w:rPr>
        <w:t>5.</w:t>
        <w:tab/>
        <w:t>В случае прохождения Управленческой командой обучения на базе АНО ДПО Школа экспорта Акционерного общества «Российский экспортный центр» Субъекту рекомендуется на период обучения команды направлять (командировать) представителей ключевых органов исполнительной власти Субъекта, ответственных за развитие приоритетных отраслей экспорта Субъекта, для участия в разработке и (или) актуализации Стратегии ВЭД и (или) Региональной программы в статусе «Наблюдатель».</w:t>
      </w:r>
    </w:p>
    <w:p>
      <w:pPr>
        <w:pStyle w:val="Normal"/>
        <w:spacing w:lineRule="atLeast" w:line="23" w:before="0" w:after="120"/>
        <w:jc w:val="both"/>
        <w:rPr>
          <w:rFonts w:ascii="Times New Roman" w:hAnsi="Times New Roman" w:eastAsia="Times New Roman" w:cs="Times New Roman"/>
          <w:color w:val="auto"/>
          <w:highlight w:val="white"/>
        </w:rPr>
      </w:pPr>
      <w:r>
        <w:rPr>
          <w:rFonts w:eastAsia="Times New Roman" w:cs="Times New Roman" w:ascii="Times New Roman" w:hAnsi="Times New Roman"/>
          <w:color w:val="auto"/>
          <w:highlight w:val="white"/>
        </w:rPr>
        <w:t>6.</w:t>
        <w:tab/>
        <w:t>Финансирование расходов на организацию и проведение мероприятий по профессиональному развитию членов Управленческой команды и представителей ключевых органов исполнительной власти Субъекта, ответственных за развитие приоритетных отраслей экспорта Субъекта в статусе «Наблюдатель», может осуществляться за счет бюджетных ассигнований Субъекта частично либо полностью, средств организаций, от чьего имени выступает член Управленческой команды. Организация и проведение мероприятий по профессиональному развитию членов Управленческой команды Субъекта возможны на безвозмездной основе</w:t>
      </w:r>
      <w:r>
        <w:rPr>
          <w:rFonts w:eastAsia="Times New Roman" w:cs="Times New Roman" w:ascii="Times New Roman" w:hAnsi="Times New Roman"/>
          <w:color w:val="auto"/>
        </w:rPr>
        <w:t>.</w:t>
      </w:r>
    </w:p>
    <w:p>
      <w:pPr>
        <w:pStyle w:val="Normal"/>
        <w:spacing w:lineRule="atLeast" w:line="23" w:before="0" w:after="120"/>
        <w:jc w:val="both"/>
        <w:rPr>
          <w:rFonts w:ascii="Times New Roman" w:hAnsi="Times New Roman" w:cs="Times New Roman"/>
          <w:color w:val="auto"/>
          <w:highlight w:val="white"/>
        </w:rPr>
      </w:pPr>
      <w:r>
        <w:rPr>
          <w:rFonts w:cs="Times New Roman" w:ascii="Times New Roman" w:hAnsi="Times New Roman"/>
          <w:color w:val="auto"/>
          <w:highlight w:val="white"/>
        </w:rPr>
        <w:t>7.</w:t>
        <w:tab/>
        <w:t>Руководителю Управленческой команды Субъекта рекомендуется на системной основе развивать сплочённость Управленческой команды для повышения продуктивности совместной работы. Командообразование может осуществляться неформально в различных очных формах: учебные занятия, упражнения и тренинги, специальные игры, соревнования, иные спортивные и развлекательные мероприятия, в том числе на базе вузов, учебных заведений, центров профессиональной подготовки, лицензированных на осуществление образовательной деятельности, в том числе АНО ДПО «Школа экспорта А</w:t>
      </w:r>
      <w:r>
        <w:rPr>
          <w:rFonts w:eastAsia="Times New Roman" w:cs="Times New Roman" w:ascii="Times New Roman" w:hAnsi="Times New Roman"/>
          <w:color w:val="auto"/>
          <w:highlight w:val="white"/>
        </w:rPr>
        <w:t>кционерного общества «Российский экспортный центр»</w:t>
      </w:r>
      <w:r>
        <w:rPr>
          <w:rFonts w:cs="Times New Roman" w:ascii="Times New Roman" w:hAnsi="Times New Roman"/>
          <w:color w:val="auto"/>
          <w:highlight w:val="white"/>
        </w:rPr>
        <w:t>, учебных центров российских деловых объединений (РСПП, «ОПОРА РОССИИ», «Деловая Россия», Торгово-промышленная палата России).</w:t>
      </w:r>
    </w:p>
    <w:p>
      <w:pPr>
        <w:pStyle w:val="14"/>
        <w:shd w:val="clear" w:color="auto" w:fill="auto"/>
        <w:rPr>
          <w:color w:val="auto"/>
          <w:highlight w:val="white"/>
        </w:rPr>
      </w:pPr>
      <w:r>
        <w:rPr>
          <w:color w:val="auto"/>
          <w:highlight w:val="white"/>
        </w:rPr>
        <w:t>8.</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8.1.</w:t>
        <w:tab/>
        <w:t>Уровень 1:</w:t>
      </w:r>
    </w:p>
    <w:p>
      <w:pPr>
        <w:pStyle w:val="14"/>
        <w:numPr>
          <w:ilvl w:val="0"/>
          <w:numId w:val="96"/>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35"/>
        </w:numPr>
        <w:shd w:val="clear" w:color="auto" w:fill="auto"/>
        <w:spacing w:before="0" w:after="102"/>
        <w:ind w:hanging="425" w:left="425"/>
        <w:rPr>
          <w:color w:val="auto"/>
          <w:highlight w:val="white"/>
        </w:rPr>
      </w:pPr>
      <w:r>
        <w:rPr>
          <w:color w:val="auto"/>
          <w:highlight w:val="white"/>
        </w:rPr>
        <w:t>подтверждается профессиональное развитие каждого члена Управленческой команды в отчетном году в соответствии с п. 3 настоящего Инструмента.</w:t>
      </w:r>
    </w:p>
    <w:p>
      <w:pPr>
        <w:pStyle w:val="14"/>
        <w:shd w:val="clear" w:color="auto" w:fill="auto"/>
        <w:rPr>
          <w:color w:val="auto"/>
          <w:highlight w:val="white"/>
        </w:rPr>
      </w:pPr>
      <w:r>
        <w:rPr>
          <w:color w:val="auto"/>
          <w:highlight w:val="white"/>
        </w:rPr>
        <w:t>8.2.</w:t>
        <w:tab/>
        <w:t>Уровень 2: Управленческой командой в отчетном году успешно внедрена не менее чем 1 (одна) практика из Сборника лучших практик</w:t>
      </w:r>
      <w:r>
        <w:rPr>
          <w:rStyle w:val="FootnoteReference"/>
          <w:color w:val="auto"/>
          <w:highlight w:val="white"/>
        </w:rPr>
        <w:footnoteReference w:id="13"/>
      </w:r>
      <w:r>
        <w:rPr>
          <w:color w:val="auto"/>
          <w:highlight w:val="white"/>
        </w:rPr>
        <w:t>.</w:t>
      </w:r>
    </w:p>
    <w:p>
      <w:pPr>
        <w:pStyle w:val="14"/>
        <w:shd w:val="clear" w:color="auto" w:fill="auto"/>
        <w:rPr>
          <w:color w:val="auto"/>
          <w:highlight w:val="white"/>
        </w:rPr>
      </w:pPr>
      <w:r>
        <w:rPr>
          <w:color w:val="auto"/>
          <w:highlight w:val="white"/>
        </w:rPr>
        <w:t>8.3.</w:t>
        <w:tab/>
        <w:t>Уровень 3: Лучшая практика Субъекта включена в отчетном году в Сборник лучших практик</w:t>
      </w:r>
      <w:r>
        <w:rPr>
          <w:rStyle w:val="FootnoteReference"/>
          <w:color w:val="auto"/>
          <w:highlight w:val="white"/>
        </w:rPr>
        <w:footnoteReference w:id="14"/>
      </w:r>
      <w:r>
        <w:rPr>
          <w:color w:val="auto"/>
          <w:highlight w:val="white"/>
        </w:rPr>
        <w:t>.</w:t>
      </w:r>
    </w:p>
    <w:p>
      <w:pPr>
        <w:sectPr>
          <w:headerReference w:type="even" r:id="rId38"/>
          <w:headerReference w:type="default" r:id="rId39"/>
          <w:headerReference w:type="first" r:id="rId40"/>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27"/>
        <w:keepNext w:val="true"/>
        <w:keepLines/>
        <w:shd w:val="clear" w:color="auto" w:fill="auto"/>
        <w:tabs>
          <w:tab w:val="clear" w:pos="709"/>
          <w:tab w:val="left" w:pos="571" w:leader="none"/>
        </w:tabs>
        <w:rPr>
          <w:color w:val="auto"/>
          <w:highlight w:val="white"/>
        </w:rPr>
      </w:pPr>
      <w:r>
        <w:rPr>
          <w:color w:val="auto"/>
          <w:highlight w:val="white"/>
        </w:rPr>
        <w:t>Инструмент 10. Информационно-образовательная поддержка экспортно ориентированных субъектов предпринимательства по основам экспортной деятельности</w:t>
      </w:r>
    </w:p>
    <w:p>
      <w:pPr>
        <w:pStyle w:val="14"/>
        <w:shd w:val="clear" w:color="auto" w:fill="auto"/>
        <w:rPr>
          <w:color w:val="auto"/>
          <w:highlight w:val="white"/>
        </w:rPr>
      </w:pPr>
      <w:r>
        <w:rPr>
          <w:color w:val="auto"/>
          <w:highlight w:val="white"/>
        </w:rPr>
        <w:t>1. Субъекту необходимо проводить системную работу по вовлечению Организаций в экспортную деятельность за счет проведения информационно-образовательных мероприятий по вопросам экспортной деятельности, включая информацию о существующих мерах государственной поддержки.</w:t>
      </w:r>
    </w:p>
    <w:p>
      <w:pPr>
        <w:pStyle w:val="14"/>
        <w:shd w:val="clear" w:color="auto" w:fill="auto"/>
        <w:rPr>
          <w:color w:val="auto"/>
          <w:highlight w:val="white"/>
        </w:rPr>
      </w:pPr>
      <w:r>
        <w:rPr>
          <w:color w:val="auto"/>
          <w:highlight w:val="white"/>
        </w:rPr>
        <w:t>2.</w:t>
        <w:tab/>
        <w:t>В Субъекте рекомендовано создать (в том числе при методическом сопровождении РЭЦ и АНО ДПО «Школа экспорта Акционерного общества «Российский экспортный центр») условия для оказания информационно-образовательной поддержки экспортно ориентированных Организаций посредством проведения информационно-образовательных мероприятий по вопросам внешнеэкономической деятельности: семинаров, мастер-классов, деловых игр, курсов, тренингов, круглых столов, стратегических сессий, фестивалей, конференций и прочих мероприятий. Субъекту рекомендовано применять комплексный подход к информированию Организаций, включая изучение ключевых аспектов и лучших практик экспортной деятельности.</w:t>
      </w:r>
    </w:p>
    <w:p>
      <w:pPr>
        <w:pStyle w:val="14"/>
        <w:shd w:val="clear" w:color="auto" w:fill="auto"/>
        <w:rPr>
          <w:color w:val="auto"/>
          <w:highlight w:val="white"/>
        </w:rPr>
      </w:pPr>
      <w:r>
        <w:rPr>
          <w:color w:val="auto"/>
          <w:highlight w:val="white"/>
        </w:rPr>
        <w:t>3.</w:t>
        <w:tab/>
        <w:t>Финансирование деятельности образовательной площадки возможно производить за счет бюджетных ассигнований Субъекта частично либо полностью.</w:t>
      </w:r>
    </w:p>
    <w:p>
      <w:pPr>
        <w:pStyle w:val="14"/>
        <w:shd w:val="clear" w:color="auto" w:fill="auto"/>
        <w:rPr>
          <w:color w:val="auto"/>
          <w:highlight w:val="white"/>
        </w:rPr>
      </w:pPr>
      <w:r>
        <w:rPr>
          <w:color w:val="auto"/>
          <w:highlight w:val="white"/>
        </w:rPr>
        <w:t>4.</w:t>
        <w:tab/>
        <w:t>Субъекту рекомендуется ежегодно формировать план информационно-образовательной поддержки экспортной деятельности (далее – План обучающих мероприятий), включая информационно-образовательные мероприятия и показатели с ненулевыми значениями, в том числе:</w:t>
      </w:r>
    </w:p>
    <w:p>
      <w:pPr>
        <w:pStyle w:val="14"/>
        <w:numPr>
          <w:ilvl w:val="0"/>
          <w:numId w:val="19"/>
        </w:numPr>
        <w:shd w:val="clear" w:color="auto" w:fill="auto"/>
        <w:spacing w:before="0" w:after="0"/>
        <w:ind w:hanging="425" w:left="425"/>
        <w:rPr>
          <w:color w:val="auto"/>
          <w:highlight w:val="white"/>
        </w:rPr>
      </w:pPr>
      <w:r>
        <w:rPr>
          <w:color w:val="auto"/>
          <w:highlight w:val="white"/>
        </w:rPr>
        <w:t>количество информационно-образовательных мероприятий по экспорту (ед.);</w:t>
      </w:r>
    </w:p>
    <w:p>
      <w:pPr>
        <w:pStyle w:val="14"/>
        <w:numPr>
          <w:ilvl w:val="0"/>
          <w:numId w:val="19"/>
        </w:numPr>
        <w:shd w:val="clear" w:color="auto" w:fill="auto"/>
        <w:spacing w:before="0" w:after="0"/>
        <w:ind w:hanging="425" w:left="425"/>
        <w:rPr>
          <w:color w:val="auto"/>
          <w:highlight w:val="white"/>
        </w:rPr>
      </w:pPr>
      <w:r>
        <w:rPr>
          <w:color w:val="auto"/>
          <w:highlight w:val="white"/>
        </w:rPr>
        <w:t>количество уникальных Организаций, принявших участие в информационно-образовательных мероприятиях (ед.);</w:t>
      </w:r>
    </w:p>
    <w:p>
      <w:pPr>
        <w:pStyle w:val="14"/>
        <w:numPr>
          <w:ilvl w:val="0"/>
          <w:numId w:val="19"/>
        </w:numPr>
        <w:shd w:val="clear" w:color="auto" w:fill="auto"/>
        <w:spacing w:before="0" w:after="102"/>
        <w:ind w:hanging="425" w:left="425"/>
        <w:rPr>
          <w:color w:val="auto"/>
          <w:highlight w:val="white"/>
        </w:rPr>
      </w:pPr>
      <w:r>
        <w:rPr>
          <w:color w:val="auto"/>
          <w:highlight w:val="white"/>
        </w:rPr>
        <w:t>охват информационно-образовательными мероприятиями Организаций из реестра экспортеров и потенциальных экспортеров (%).</w:t>
      </w:r>
    </w:p>
    <w:p>
      <w:pPr>
        <w:pStyle w:val="14"/>
        <w:shd w:val="clear" w:color="auto" w:fill="auto"/>
        <w:rPr>
          <w:color w:val="auto"/>
          <w:highlight w:val="white"/>
        </w:rPr>
      </w:pPr>
      <w:r>
        <w:rPr>
          <w:color w:val="auto"/>
        </w:rPr>
        <w:t xml:space="preserve">Охват </w:t>
      </w:r>
      <w:r>
        <w:rPr>
          <w:color w:val="auto"/>
          <w:highlight w:val="white"/>
        </w:rPr>
        <w:t>информационно-образовательными мероприятиями</w:t>
      </w:r>
      <w:r>
        <w:rPr>
          <w:color w:val="auto"/>
        </w:rPr>
        <w:t xml:space="preserve"> определяется как доля количества уникальных Организаций, принявших участие в обучающих мероприятиях, в количестве Организаций, состоящих в реестре экспортеров и потенциальных экспортеров региона, в отчетном году (см. Инструмент 6).</w:t>
      </w:r>
    </w:p>
    <w:p>
      <w:pPr>
        <w:pStyle w:val="14"/>
        <w:shd w:val="clear" w:color="auto" w:fill="auto"/>
        <w:rPr>
          <w:color w:val="auto"/>
        </w:rPr>
      </w:pPr>
      <w:r>
        <w:rPr>
          <w:color w:val="auto"/>
          <w:highlight w:val="white"/>
        </w:rPr>
        <w:t>По усмотрению Субъекта в План обучающих мероприятий могут быть включены иные дополнительные показатели.</w:t>
      </w:r>
    </w:p>
    <w:p>
      <w:pPr>
        <w:pStyle w:val="14"/>
        <w:shd w:val="clear" w:color="auto" w:fill="auto"/>
        <w:rPr>
          <w:color w:val="auto"/>
        </w:rPr>
      </w:pPr>
      <w:r>
        <w:rPr>
          <w:color w:val="auto"/>
          <w:highlight w:val="white"/>
        </w:rPr>
        <w:t>5.</w:t>
        <w:tab/>
        <w:t>В План обучающих мероприятий рекомендуется включать мероприятия об основах и различных аспектах экспортной деятельности, о системе государственной поддержки экспорта, об особенностях размещения товаров на зарубежных и международных электронных торговых площадках, кросс-культурному взаимодействию с зарубежными партнерами, о необходимости заполнения в декларациях на товары (графа 31) и статистических формах учета перемещения товаров (графа 12) информации о производителе продукции и т.д.</w:t>
      </w:r>
    </w:p>
    <w:p>
      <w:pPr>
        <w:pStyle w:val="14"/>
        <w:shd w:val="clear" w:color="auto" w:fill="auto"/>
        <w:rPr>
          <w:color w:val="auto"/>
        </w:rPr>
      </w:pPr>
      <w:r>
        <w:rPr>
          <w:color w:val="auto"/>
        </w:rPr>
        <w:t>6.</w:t>
        <w:tab/>
      </w:r>
      <w:r>
        <w:rPr>
          <w:color w:val="auto"/>
          <w:highlight w:val="white"/>
        </w:rPr>
        <w:t>План обучающих мероприятий</w:t>
      </w:r>
      <w:r>
        <w:rPr>
          <w:color w:val="auto"/>
        </w:rPr>
        <w:t xml:space="preserve"> может быть разработан в одной из следующих форм по усмотрению Субъекта:</w:t>
      </w:r>
    </w:p>
    <w:p>
      <w:pPr>
        <w:pStyle w:val="14"/>
        <w:numPr>
          <w:ilvl w:val="0"/>
          <w:numId w:val="130"/>
        </w:numPr>
        <w:shd w:val="clear" w:color="auto" w:fill="auto"/>
        <w:spacing w:before="0" w:after="0"/>
        <w:ind w:hanging="425" w:left="425"/>
        <w:rPr>
          <w:color w:val="auto"/>
        </w:rPr>
      </w:pPr>
      <w:r>
        <w:rPr>
          <w:color w:val="auto"/>
        </w:rPr>
        <w:t>как раздел Региональной программы Субъекта либо её приложения;</w:t>
      </w:r>
    </w:p>
    <w:p>
      <w:pPr>
        <w:pStyle w:val="14"/>
        <w:numPr>
          <w:ilvl w:val="0"/>
          <w:numId w:val="130"/>
        </w:numPr>
        <w:shd w:val="clear" w:color="auto" w:fill="auto"/>
        <w:spacing w:before="0" w:after="0"/>
        <w:ind w:hanging="425" w:left="425"/>
        <w:rPr>
          <w:color w:val="auto"/>
        </w:rPr>
      </w:pPr>
      <w:r>
        <w:rPr>
          <w:color w:val="auto"/>
        </w:rPr>
        <w:t>как отдельное приложение к Региональной программе;</w:t>
      </w:r>
    </w:p>
    <w:p>
      <w:pPr>
        <w:pStyle w:val="14"/>
        <w:numPr>
          <w:ilvl w:val="0"/>
          <w:numId w:val="130"/>
        </w:numPr>
        <w:shd w:val="clear" w:color="auto" w:fill="auto"/>
        <w:ind w:hanging="425" w:left="425"/>
        <w:rPr>
          <w:color w:val="auto"/>
        </w:rPr>
      </w:pPr>
      <w:r>
        <w:rPr>
          <w:color w:val="auto"/>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Normal"/>
        <w:spacing w:before="0" w:after="102"/>
        <w:jc w:val="both"/>
        <w:rPr>
          <w:color w:val="auto"/>
        </w:rPr>
      </w:pPr>
      <w:r>
        <w:rPr>
          <w:rFonts w:cs="Times New Roman" w:ascii="Times New Roman" w:hAnsi="Times New Roman"/>
          <w:color w:val="auto"/>
          <w:highlight w:val="white"/>
        </w:rPr>
        <w:t>7.</w:t>
        <w:tab/>
        <w:t>Субъекту рекомендуется ежегодно до 1 декабря отчётного года формировать, утверждать и направлять в Систему отчёт об исполнении Плана обучающих мероприятий.</w:t>
      </w:r>
    </w:p>
    <w:p>
      <w:pPr>
        <w:pStyle w:val="Normal"/>
        <w:spacing w:before="0" w:after="102"/>
        <w:jc w:val="both"/>
        <w:rPr>
          <w:color w:val="auto"/>
        </w:rPr>
      </w:pPr>
      <w:r>
        <w:rPr>
          <w:rFonts w:cs="Times New Roman" w:ascii="Times New Roman" w:hAnsi="Times New Roman"/>
          <w:color w:val="auto"/>
          <w:highlight w:val="white"/>
        </w:rPr>
        <w:t>Форма утверждения отчёта определяется Субъектом самостоятельно из вариантов:</w:t>
      </w:r>
    </w:p>
    <w:p>
      <w:pPr>
        <w:pStyle w:val="ListParagraph"/>
        <w:numPr>
          <w:ilvl w:val="0"/>
          <w:numId w:val="131"/>
        </w:numPr>
        <w:ind w:hanging="425" w:left="425"/>
        <w:jc w:val="both"/>
        <w:rPr>
          <w:color w:val="auto"/>
        </w:rPr>
      </w:pPr>
      <w:r>
        <w:rPr>
          <w:rFonts w:cs="Times New Roman" w:ascii="Times New Roman" w:hAnsi="Times New Roman"/>
          <w:color w:val="auto"/>
          <w:highlight w:val="white"/>
        </w:rPr>
        <w:t>утвердительная надпись руководителя РОИВ-координатора либо профильного РОИВ, ответственного за реализацию настоящего Инструмента;</w:t>
      </w:r>
    </w:p>
    <w:p>
      <w:pPr>
        <w:pStyle w:val="ListParagraph"/>
        <w:numPr>
          <w:ilvl w:val="0"/>
          <w:numId w:val="131"/>
        </w:numPr>
        <w:ind w:hanging="425" w:left="425"/>
        <w:jc w:val="both"/>
        <w:rPr>
          <w:color w:val="auto"/>
        </w:rPr>
      </w:pPr>
      <w:r>
        <w:rPr>
          <w:rFonts w:cs="Times New Roman" w:ascii="Times New Roman" w:hAnsi="Times New Roman"/>
          <w:color w:val="auto"/>
          <w:highlight w:val="white"/>
        </w:rPr>
        <w:t>нормативно-правовой акт РОИВ-координатора либо профильного РОИВ, ответственного за реализацию настоящего Инструмента;</w:t>
      </w:r>
    </w:p>
    <w:p>
      <w:pPr>
        <w:pStyle w:val="ListParagraph"/>
        <w:numPr>
          <w:ilvl w:val="0"/>
          <w:numId w:val="131"/>
        </w:numPr>
        <w:spacing w:before="0" w:after="102"/>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rPr>
          <w:color w:val="auto"/>
          <w:highlight w:val="white"/>
        </w:rPr>
      </w:pPr>
      <w:r>
        <w:rPr>
          <w:color w:val="auto"/>
          <w:highlight w:val="white"/>
        </w:rPr>
        <w:t>8.</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8.1.</w:t>
        <w:tab/>
        <w:t>Уровень 1:</w:t>
      </w:r>
    </w:p>
    <w:p>
      <w:pPr>
        <w:pStyle w:val="14"/>
        <w:numPr>
          <w:ilvl w:val="0"/>
          <w:numId w:val="97"/>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97"/>
        </w:numPr>
        <w:shd w:val="clear" w:color="auto" w:fill="auto"/>
        <w:spacing w:before="0" w:after="0"/>
        <w:ind w:hanging="425" w:left="425"/>
        <w:rPr>
          <w:color w:val="auto"/>
          <w:highlight w:val="white"/>
        </w:rPr>
      </w:pPr>
      <w:r>
        <w:rPr>
          <w:color w:val="auto"/>
        </w:rPr>
        <w:t xml:space="preserve">отчёт об исполнении Плана </w:t>
      </w:r>
      <w:r>
        <w:rPr>
          <w:color w:val="auto"/>
          <w:highlight w:val="white"/>
        </w:rPr>
        <w:t>обучающих мероприятий</w:t>
      </w:r>
      <w:r>
        <w:rPr>
          <w:color w:val="auto"/>
        </w:rPr>
        <w:t xml:space="preserve"> предоставлен в Систему (согласован экспертом РЭЦ) до 1 декабря отчетного года;</w:t>
      </w:r>
    </w:p>
    <w:p>
      <w:pPr>
        <w:pStyle w:val="14"/>
        <w:numPr>
          <w:ilvl w:val="0"/>
          <w:numId w:val="38"/>
        </w:numPr>
        <w:shd w:val="clear" w:color="auto" w:fill="auto"/>
        <w:ind w:hanging="425" w:left="425"/>
        <w:rPr>
          <w:color w:val="auto"/>
          <w:highlight w:val="white"/>
        </w:rPr>
      </w:pPr>
      <w:r>
        <w:rPr>
          <w:color w:val="auto"/>
          <w:highlight w:val="white"/>
        </w:rPr>
        <w:t>целевые показатели по информационно-образовательной поддержке действующих экспортеров и Организаций, планирующих осуществлять экспортную деятельность, с ненулевыми значениями, исполнены полностью (100%) до 1 декабря отчетного года.</w:t>
      </w:r>
    </w:p>
    <w:p>
      <w:pPr>
        <w:pStyle w:val="14"/>
        <w:shd w:val="clear" w:color="auto" w:fill="auto"/>
        <w:spacing w:before="0" w:after="102"/>
        <w:rPr>
          <w:color w:val="auto"/>
          <w:highlight w:val="white"/>
        </w:rPr>
      </w:pPr>
      <w:r>
        <w:rPr>
          <w:color w:val="auto"/>
          <w:highlight w:val="white"/>
        </w:rPr>
        <w:t>8.2.</w:t>
        <w:tab/>
        <w:t>Уровень 2:</w:t>
      </w:r>
    </w:p>
    <w:p>
      <w:pPr>
        <w:pStyle w:val="14"/>
        <w:numPr>
          <w:ilvl w:val="0"/>
          <w:numId w:val="36"/>
        </w:numPr>
        <w:shd w:val="clear" w:color="auto" w:fill="auto"/>
        <w:spacing w:before="0" w:after="0"/>
        <w:ind w:hanging="425" w:left="425"/>
        <w:rPr>
          <w:color w:val="auto"/>
          <w:highlight w:val="white"/>
        </w:rPr>
      </w:pPr>
      <w:r>
        <w:rPr>
          <w:color w:val="auto"/>
          <w:highlight w:val="white"/>
        </w:rPr>
        <w:t>в отчетном году в Субъекте проведено информационно-образовательных мероприятий не менее:</w:t>
      </w:r>
    </w:p>
    <w:p>
      <w:pPr>
        <w:pStyle w:val="14"/>
        <w:numPr>
          <w:ilvl w:val="0"/>
          <w:numId w:val="79"/>
        </w:numPr>
        <w:shd w:val="clear" w:color="auto" w:fill="auto"/>
        <w:spacing w:before="0" w:after="0"/>
        <w:rPr>
          <w:color w:val="auto"/>
          <w:highlight w:val="white"/>
        </w:rPr>
      </w:pPr>
      <w:r>
        <w:rPr>
          <w:color w:val="auto"/>
          <w:highlight w:val="white"/>
        </w:rPr>
        <w:t>2 ед. – для регионов, относящихся к 1-й группе;</w:t>
      </w:r>
    </w:p>
    <w:p>
      <w:pPr>
        <w:pStyle w:val="14"/>
        <w:numPr>
          <w:ilvl w:val="0"/>
          <w:numId w:val="79"/>
        </w:numPr>
        <w:shd w:val="clear" w:color="auto" w:fill="auto"/>
        <w:spacing w:before="0" w:after="0"/>
        <w:rPr>
          <w:color w:val="auto"/>
          <w:highlight w:val="white"/>
        </w:rPr>
      </w:pPr>
      <w:r>
        <w:rPr>
          <w:color w:val="auto"/>
          <w:highlight w:val="white"/>
        </w:rPr>
        <w:t>2 ед. – для регионов, относящихся к 2-й группе;</w:t>
      </w:r>
    </w:p>
    <w:p>
      <w:pPr>
        <w:pStyle w:val="14"/>
        <w:numPr>
          <w:ilvl w:val="0"/>
          <w:numId w:val="79"/>
        </w:numPr>
        <w:shd w:val="clear" w:color="auto" w:fill="auto"/>
        <w:spacing w:before="0" w:after="0"/>
        <w:rPr>
          <w:color w:val="auto"/>
          <w:highlight w:val="white"/>
        </w:rPr>
      </w:pPr>
      <w:r>
        <w:rPr>
          <w:color w:val="auto"/>
          <w:highlight w:val="white"/>
        </w:rPr>
        <w:t>4 ед. – для регионов, относящихся к 3-й группе;</w:t>
      </w:r>
    </w:p>
    <w:p>
      <w:pPr>
        <w:pStyle w:val="14"/>
        <w:numPr>
          <w:ilvl w:val="0"/>
          <w:numId w:val="79"/>
        </w:numPr>
        <w:shd w:val="clear" w:color="auto" w:fill="auto"/>
        <w:spacing w:before="0" w:after="0"/>
        <w:rPr>
          <w:color w:val="auto"/>
          <w:highlight w:val="white"/>
        </w:rPr>
      </w:pPr>
      <w:r>
        <w:rPr>
          <w:color w:val="auto"/>
          <w:highlight w:val="white"/>
        </w:rPr>
        <w:t xml:space="preserve">6 ед. – для регионов, относящихся к 4-й группе; </w:t>
      </w:r>
    </w:p>
    <w:p>
      <w:pPr>
        <w:pStyle w:val="14"/>
        <w:numPr>
          <w:ilvl w:val="0"/>
          <w:numId w:val="79"/>
        </w:numPr>
        <w:shd w:val="clear" w:color="auto" w:fill="auto"/>
        <w:spacing w:before="0" w:after="102"/>
        <w:rPr>
          <w:color w:val="auto"/>
          <w:highlight w:val="white"/>
        </w:rPr>
      </w:pPr>
      <w:r>
        <w:rPr>
          <w:color w:val="auto"/>
          <w:highlight w:val="white"/>
        </w:rPr>
        <w:t>8 ед. – для регионов, относящихся к 5-й группе;</w:t>
      </w:r>
    </w:p>
    <w:p>
      <w:pPr>
        <w:pStyle w:val="14"/>
        <w:numPr>
          <w:ilvl w:val="0"/>
          <w:numId w:val="39"/>
        </w:numPr>
        <w:shd w:val="clear" w:color="auto" w:fill="auto"/>
        <w:spacing w:before="0" w:after="102"/>
        <w:ind w:hanging="425" w:left="425"/>
        <w:rPr>
          <w:color w:val="auto"/>
          <w:highlight w:val="white"/>
        </w:rPr>
      </w:pPr>
      <w:r>
        <w:rPr>
          <w:color w:val="auto"/>
          <w:highlight w:val="white"/>
        </w:rPr>
        <w:t>охват информационно-образовательными мероприятиями Организаций в отчетном году составил не менее 3% от количества Организаций, внесенных в реестр экспортеров и потенциальных экспортеров региона.</w:t>
      </w:r>
    </w:p>
    <w:p>
      <w:pPr>
        <w:pStyle w:val="14"/>
        <w:shd w:val="clear" w:color="auto" w:fill="auto"/>
        <w:spacing w:before="0" w:after="102"/>
        <w:rPr>
          <w:color w:val="auto"/>
          <w:highlight w:val="white"/>
        </w:rPr>
      </w:pPr>
      <w:r>
        <w:rPr>
          <w:color w:val="auto"/>
          <w:highlight w:val="white"/>
        </w:rPr>
        <w:t>8.3.</w:t>
        <w:tab/>
        <w:t>Уровень 3:</w:t>
      </w:r>
    </w:p>
    <w:p>
      <w:pPr>
        <w:pStyle w:val="14"/>
        <w:numPr>
          <w:ilvl w:val="0"/>
          <w:numId w:val="37"/>
        </w:numPr>
        <w:shd w:val="clear" w:color="auto" w:fill="auto"/>
        <w:spacing w:before="0" w:after="0"/>
        <w:ind w:hanging="425" w:left="425"/>
        <w:rPr>
          <w:color w:val="auto"/>
          <w:highlight w:val="white"/>
        </w:rPr>
      </w:pPr>
      <w:r>
        <w:rPr>
          <w:color w:val="auto"/>
          <w:highlight w:val="white"/>
        </w:rPr>
        <w:t>в отчетном году в Субъекте проведено информационно-образовательных мероприятий не менее:</w:t>
      </w:r>
    </w:p>
    <w:p>
      <w:pPr>
        <w:pStyle w:val="14"/>
        <w:numPr>
          <w:ilvl w:val="0"/>
          <w:numId w:val="80"/>
        </w:numPr>
        <w:shd w:val="clear" w:color="auto" w:fill="auto"/>
        <w:spacing w:before="0" w:after="0"/>
        <w:rPr>
          <w:color w:val="auto"/>
          <w:highlight w:val="white"/>
        </w:rPr>
      </w:pPr>
      <w:r>
        <w:rPr>
          <w:color w:val="auto"/>
          <w:highlight w:val="white"/>
        </w:rPr>
        <w:t>3 ед. – для регионов, относящихся к 1-й группе;</w:t>
      </w:r>
    </w:p>
    <w:p>
      <w:pPr>
        <w:pStyle w:val="14"/>
        <w:numPr>
          <w:ilvl w:val="0"/>
          <w:numId w:val="80"/>
        </w:numPr>
        <w:shd w:val="clear" w:color="auto" w:fill="auto"/>
        <w:spacing w:before="0" w:after="0"/>
        <w:rPr>
          <w:color w:val="auto"/>
          <w:highlight w:val="white"/>
        </w:rPr>
      </w:pPr>
      <w:r>
        <w:rPr>
          <w:color w:val="auto"/>
          <w:highlight w:val="white"/>
        </w:rPr>
        <w:t>4 ед. – для регионов, относящихся к 2-й группе;</w:t>
      </w:r>
    </w:p>
    <w:p>
      <w:pPr>
        <w:pStyle w:val="14"/>
        <w:numPr>
          <w:ilvl w:val="0"/>
          <w:numId w:val="80"/>
        </w:numPr>
        <w:shd w:val="clear" w:color="auto" w:fill="auto"/>
        <w:spacing w:before="0" w:after="0"/>
        <w:rPr>
          <w:color w:val="auto"/>
          <w:highlight w:val="white"/>
        </w:rPr>
      </w:pPr>
      <w:r>
        <w:rPr>
          <w:color w:val="auto"/>
          <w:highlight w:val="white"/>
        </w:rPr>
        <w:t>8 ед. – для регионов, относящихся к 3-й группе;</w:t>
      </w:r>
    </w:p>
    <w:p>
      <w:pPr>
        <w:pStyle w:val="14"/>
        <w:numPr>
          <w:ilvl w:val="0"/>
          <w:numId w:val="80"/>
        </w:numPr>
        <w:shd w:val="clear" w:color="auto" w:fill="auto"/>
        <w:spacing w:before="0" w:after="0"/>
        <w:rPr>
          <w:color w:val="auto"/>
          <w:highlight w:val="white"/>
        </w:rPr>
      </w:pPr>
      <w:r>
        <w:rPr>
          <w:color w:val="auto"/>
          <w:highlight w:val="white"/>
        </w:rPr>
        <w:t xml:space="preserve">12 ед. – для регионов, относящихся к 4-й группе; </w:t>
      </w:r>
    </w:p>
    <w:p>
      <w:pPr>
        <w:pStyle w:val="14"/>
        <w:numPr>
          <w:ilvl w:val="0"/>
          <w:numId w:val="80"/>
        </w:numPr>
        <w:shd w:val="clear" w:color="auto" w:fill="auto"/>
        <w:spacing w:before="0" w:after="102"/>
        <w:rPr>
          <w:color w:val="auto"/>
          <w:highlight w:val="white"/>
        </w:rPr>
      </w:pPr>
      <w:r>
        <w:rPr>
          <w:color w:val="auto"/>
          <w:highlight w:val="white"/>
        </w:rPr>
        <w:t>16 ед. – для регионов, относящихся к 5-й группе;</w:t>
      </w:r>
    </w:p>
    <w:p>
      <w:pPr>
        <w:pStyle w:val="14"/>
        <w:numPr>
          <w:ilvl w:val="0"/>
          <w:numId w:val="40"/>
        </w:numPr>
        <w:shd w:val="clear" w:color="auto" w:fill="auto"/>
        <w:spacing w:before="0" w:after="120"/>
        <w:ind w:hanging="425" w:left="425"/>
        <w:rPr>
          <w:color w:val="auto"/>
          <w:highlight w:val="white"/>
        </w:rPr>
      </w:pPr>
      <w:r>
        <w:rPr>
          <w:color w:val="auto"/>
          <w:highlight w:val="white"/>
        </w:rPr>
        <w:t>охват информационно-образовательными мероприятиями Организаций в отчетном году составил не менее 6% от количества Организаций, внесенных в реестр экспортеров и потенциальных экспортеров региона.</w:t>
      </w:r>
    </w:p>
    <w:p>
      <w:pPr>
        <w:sectPr>
          <w:headerReference w:type="even" r:id="rId41"/>
          <w:headerReference w:type="default" r:id="rId42"/>
          <w:headerReference w:type="first" r:id="rId43"/>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14"/>
        <w:shd w:val="clear" w:color="auto" w:fill="auto"/>
        <w:tabs>
          <w:tab w:val="clear" w:pos="709"/>
          <w:tab w:val="left" w:pos="689" w:leader="none"/>
        </w:tabs>
        <w:rPr>
          <w:color w:val="auto"/>
          <w:highlight w:val="white"/>
        </w:rPr>
      </w:pPr>
      <w:r>
        <w:rPr>
          <w:b/>
          <w:bCs/>
          <w:color w:val="auto"/>
          <w:highlight w:val="white"/>
        </w:rPr>
        <w:t>Инструмент 11. Реализация на территории субъекта Российской Федерации акселерационных программ и других комплексных мероприятий развития экспорта</w:t>
      </w:r>
    </w:p>
    <w:p>
      <w:pPr>
        <w:pStyle w:val="14"/>
        <w:shd w:val="clear" w:color="auto" w:fill="auto"/>
        <w:rPr>
          <w:color w:val="auto"/>
          <w:highlight w:val="white"/>
        </w:rPr>
      </w:pPr>
      <w:r>
        <w:rPr>
          <w:color w:val="auto"/>
          <w:highlight w:val="white"/>
        </w:rPr>
        <w:t>1.</w:t>
        <w:tab/>
        <w:t>В Субъекте необходимо обеспечить доступ субъектов предпринимательства к комплексным программам развития экспорта, включающим информирование о стратегических, отраслевых, страновых ориентирах, финансовых и нефинансовых инструментах, государственной и региональной поддержке, направленных на ускоренное развитие экспортной деятельности Организаций, в том числе ранее не осуществлявших экспорт товаров и услуг.</w:t>
      </w:r>
    </w:p>
    <w:p>
      <w:pPr>
        <w:pStyle w:val="14"/>
        <w:shd w:val="clear" w:color="auto" w:fill="auto"/>
        <w:rPr>
          <w:color w:val="auto"/>
          <w:highlight w:val="white"/>
        </w:rPr>
      </w:pPr>
      <w:r>
        <w:rPr>
          <w:color w:val="auto"/>
          <w:highlight w:val="white"/>
        </w:rPr>
        <w:t>2.</w:t>
        <w:tab/>
        <w:t>Одним из видов оказания комплексной поддержки экспортеров и экспортно ориентированных Организаций является реализация экспортных акселерационных программ, в том числе программ АНО ДПО «Школа экспорта Акционерного общества «Российский экспортный центр», на территории Субъекта, которые предусматривают вывод Организаций на новые рынки стран, в которые ранее Организация не осуществляла экспорт. Акселерационная программа в том числе может предусматривать оценку экспортной зрелости, разработку плана, индивидуальной дорожной карты выхода на внешние рынки, бизнес-плана по повышению объемов экспортной выручки или иного стратегического документа Организации, а также наставническое сопровождение участнику экспортной акселерационной программы.</w:t>
      </w:r>
    </w:p>
    <w:p>
      <w:pPr>
        <w:pStyle w:val="14"/>
        <w:shd w:val="clear" w:color="auto" w:fill="auto"/>
        <w:rPr>
          <w:color w:val="auto"/>
          <w:highlight w:val="white"/>
        </w:rPr>
      </w:pPr>
      <w:r>
        <w:rPr>
          <w:color w:val="auto"/>
          <w:highlight w:val="white"/>
        </w:rPr>
        <w:t>Дополнительным форматом акселерационной программы для экспортно ориентированных Организаций является инкубационная программа по развитию экспортной деятельности, предоставляемая с целью вывода субъекта предпринимательства, ранее не осуществлявшего экспортную деятельность, на зарубежные рынки. В рамках инкубационной программы проводится оценка экспортного потенциала участника, выбор экспортного рынка, разработка плана вывода продукта (товар, услуга) на зарубежный рынок, сопровождение опытным наставником-практиком, формирование навыков и прикладных компетенций по ведению экспортной деятельности, организация встреч и контактов с потенциальными иностранными покупателями.</w:t>
      </w:r>
    </w:p>
    <w:p>
      <w:pPr>
        <w:pStyle w:val="14"/>
        <w:shd w:val="clear" w:color="auto" w:fill="auto"/>
        <w:rPr>
          <w:color w:val="auto"/>
          <w:highlight w:val="white"/>
        </w:rPr>
      </w:pPr>
      <w:r>
        <w:rPr>
          <w:color w:val="auto"/>
          <w:highlight w:val="white"/>
        </w:rPr>
        <w:t>Другим дополнительным форматом акселерационной программы является программа с классическим набором дисциплин MБA в сочетании со специфическими блоками по экспорту (экспортная мини-МБА), целью которой является формирование у представителей Организаций ключевых управленческих навыков и компетенций по организации экспортной деятельности. Экспортная мини-МБА должна предусматривать наставническое сопровождение и может предусматривать разработку проекта бизнес-плана и/или стратегии по развитию экспортной деятельности Организации или иных стратегических документов Организации.</w:t>
      </w:r>
    </w:p>
    <w:p>
      <w:pPr>
        <w:pStyle w:val="14"/>
        <w:shd w:val="clear" w:color="auto" w:fill="auto"/>
        <w:rPr>
          <w:color w:val="auto"/>
          <w:highlight w:val="white"/>
        </w:rPr>
      </w:pPr>
      <w:r>
        <w:rPr>
          <w:color w:val="auto"/>
          <w:highlight w:val="white"/>
        </w:rPr>
        <w:t>3.</w:t>
        <w:tab/>
        <w:t>Проведение Субъектом акселерационной программы допускается как в виде самостоятельного мероприятия в Субъекте, так и в виде обеспечения участия одной либо нескольких Организаций, зарегистрированных в Субъекте, в акселерационной программе, проводимой в другом Субъекте в межрегиональном формате.</w:t>
      </w:r>
    </w:p>
    <w:p>
      <w:pPr>
        <w:pStyle w:val="14"/>
        <w:shd w:val="clear" w:color="auto" w:fill="auto"/>
        <w:rPr>
          <w:color w:val="auto"/>
          <w:highlight w:val="white"/>
        </w:rPr>
      </w:pPr>
      <w:r>
        <w:rPr>
          <w:color w:val="auto"/>
          <w:highlight w:val="white"/>
        </w:rPr>
        <w:t>4.</w:t>
        <w:tab/>
        <w:t>Для комплексного развития экспорта в Субъекте рекомендовано создать площадку для взаимодействия субъектов предпринимательства в целях обмена опытом по ведению экспортной деятельности – региональный клуб экспортеров, который может быть организован на базе ЦПЭ или другой инфраструктуры поддержки и развития предпринимательства, а также регионального отделения российского делового объединения (РСПП, «ОПОРА РОССИИ», «Деловая Россия», Торгово-промышленная палата России).</w:t>
      </w:r>
    </w:p>
    <w:p>
      <w:pPr>
        <w:pStyle w:val="14"/>
        <w:shd w:val="clear" w:color="auto" w:fill="auto"/>
        <w:rPr>
          <w:color w:val="auto"/>
          <w:highlight w:val="white"/>
        </w:rPr>
      </w:pPr>
      <w:r>
        <w:rPr>
          <w:color w:val="auto"/>
          <w:highlight w:val="white"/>
        </w:rPr>
        <w:t>Также в Субъекте рекомендовано, в том числе в рамках работы регионального клуба экспортеров, разработать и реализовать программы менторства и/или наставничества в экспорте, когда участники внешнеэкономической деятельности делятся опытом в экспортной деятельности или по отдельным ее аспектам с Организациями, планирующими осуществлять экспортную деятельность.</w:t>
      </w:r>
    </w:p>
    <w:p>
      <w:pPr>
        <w:pStyle w:val="14"/>
        <w:shd w:val="clear" w:color="auto" w:fill="auto"/>
        <w:rPr>
          <w:color w:val="auto"/>
          <w:highlight w:val="white"/>
        </w:rPr>
      </w:pPr>
      <w:r>
        <w:rPr>
          <w:color w:val="auto"/>
          <w:highlight w:val="white"/>
        </w:rPr>
        <w:t>К работе на сессиях регионального клуба экспортеров и в рамках программ менторства и/или наставничества целесообразно привлекать представителей РЭЦ, ЦПЭ, иной инфраструктуры поддержки и развития предпринимательства, а также региональных деловых объединений, ассоциаций и союзов.</w:t>
      </w:r>
    </w:p>
    <w:p>
      <w:pPr>
        <w:pStyle w:val="14"/>
        <w:shd w:val="clear" w:color="auto" w:fill="auto"/>
        <w:rPr>
          <w:color w:val="auto"/>
          <w:highlight w:val="white"/>
        </w:rPr>
      </w:pPr>
      <w:r>
        <w:rPr>
          <w:color w:val="auto"/>
          <w:highlight w:val="white"/>
        </w:rPr>
        <w:t>5.</w:t>
        <w:tab/>
        <w:t>Субъекту рекомендуется включать в План поддержки (Инструмент 7) мероприятия и показатели по обеспечению доступа Организаций к акселерационным программам и другим комплексным инструментам развития экспорта, включая показатели:</w:t>
      </w:r>
    </w:p>
    <w:p>
      <w:pPr>
        <w:pStyle w:val="14"/>
        <w:numPr>
          <w:ilvl w:val="0"/>
          <w:numId w:val="18"/>
        </w:numPr>
        <w:shd w:val="clear" w:color="auto" w:fill="auto"/>
        <w:spacing w:before="0" w:after="0"/>
        <w:ind w:hanging="425" w:left="425"/>
        <w:rPr>
          <w:color w:val="auto"/>
          <w:highlight w:val="white"/>
        </w:rPr>
      </w:pPr>
      <w:r>
        <w:rPr>
          <w:color w:val="auto"/>
          <w:highlight w:val="white"/>
        </w:rPr>
        <w:t>количество акселерационных программ, направленных на развитие экспортной деятельности;</w:t>
      </w:r>
    </w:p>
    <w:p>
      <w:pPr>
        <w:pStyle w:val="14"/>
        <w:numPr>
          <w:ilvl w:val="0"/>
          <w:numId w:val="18"/>
        </w:numPr>
        <w:shd w:val="clear" w:color="auto" w:fill="auto"/>
        <w:spacing w:before="0" w:after="0"/>
        <w:ind w:hanging="425" w:left="425"/>
        <w:rPr>
          <w:color w:val="auto"/>
          <w:highlight w:val="white"/>
        </w:rPr>
      </w:pPr>
      <w:r>
        <w:rPr>
          <w:color w:val="auto"/>
          <w:highlight w:val="white"/>
        </w:rPr>
        <w:t>количество Организаций, участвовавших в акселерационных программах, направленных на развитие экспортной деятельности;</w:t>
      </w:r>
    </w:p>
    <w:p>
      <w:pPr>
        <w:pStyle w:val="14"/>
        <w:numPr>
          <w:ilvl w:val="0"/>
          <w:numId w:val="18"/>
        </w:numPr>
        <w:shd w:val="clear" w:color="auto" w:fill="auto"/>
        <w:spacing w:before="0" w:after="102"/>
        <w:ind w:hanging="425" w:left="425"/>
        <w:rPr>
          <w:color w:val="auto"/>
          <w:highlight w:val="white"/>
        </w:rPr>
      </w:pPr>
      <w:r>
        <w:rPr>
          <w:color w:val="auto"/>
          <w:highlight w:val="white"/>
        </w:rPr>
        <w:t xml:space="preserve">количество Организаций, заключивших экспортные контракты в результате участия </w:t>
      </w:r>
      <w:r>
        <w:rPr>
          <w:color w:val="auto"/>
          <w:highlight w:val="white"/>
        </w:rPr>
        <w:br w:type="textWrapping" w:clear="all"/>
      </w:r>
      <w:r>
        <w:rPr>
          <w:color w:val="auto"/>
          <w:highlight w:val="white"/>
        </w:rPr>
        <w:t>в акселерационных программах, направленных на развитие экспортной деятельности (в течение последующих 3 лет с даты окончания программы).</w:t>
      </w:r>
    </w:p>
    <w:p>
      <w:pPr>
        <w:pStyle w:val="14"/>
        <w:shd w:val="clear" w:color="auto" w:fill="auto"/>
        <w:rPr>
          <w:color w:val="auto"/>
          <w:highlight w:val="white"/>
        </w:rPr>
      </w:pPr>
      <w:r>
        <w:rPr>
          <w:color w:val="auto"/>
          <w:highlight w:val="white"/>
        </w:rPr>
        <w:t>6.</w:t>
        <w:tab/>
        <w:t>Финансирование реализации акселерационных программ и других комплексных инструментов развития экспорта возможно производить за счет бюджетных ассигнований Субъекта частично либо полностью.</w:t>
      </w:r>
    </w:p>
    <w:p>
      <w:pPr>
        <w:pStyle w:val="14"/>
        <w:shd w:val="clear" w:color="auto" w:fill="auto"/>
        <w:rPr>
          <w:color w:val="auto"/>
          <w:highlight w:val="white"/>
        </w:rPr>
      </w:pPr>
      <w:r>
        <w:rPr>
          <w:color w:val="auto"/>
          <w:highlight w:val="white"/>
        </w:rPr>
        <w:t>7.</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7.1.</w:t>
        <w:tab/>
        <w:t>Уровень 1:</w:t>
      </w:r>
    </w:p>
    <w:p>
      <w:pPr>
        <w:pStyle w:val="14"/>
        <w:numPr>
          <w:ilvl w:val="0"/>
          <w:numId w:val="98"/>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1"/>
        </w:numPr>
        <w:shd w:val="clear" w:color="auto" w:fill="auto"/>
        <w:spacing w:before="0" w:after="0"/>
        <w:ind w:hanging="425" w:left="425"/>
        <w:rPr>
          <w:color w:val="auto"/>
          <w:highlight w:val="white"/>
        </w:rPr>
      </w:pPr>
      <w:r>
        <w:rPr>
          <w:color w:val="auto"/>
          <w:highlight w:val="white"/>
        </w:rPr>
        <w:t>в Субъекте реализуется не менее одной акселерационной программы, направленной на развитие экспортной деятельности;</w:t>
      </w:r>
    </w:p>
    <w:p>
      <w:pPr>
        <w:pStyle w:val="14"/>
        <w:numPr>
          <w:ilvl w:val="0"/>
          <w:numId w:val="41"/>
        </w:numPr>
        <w:shd w:val="clear" w:color="auto" w:fill="auto"/>
        <w:spacing w:before="0" w:after="0"/>
        <w:ind w:hanging="425" w:left="425"/>
        <w:rPr>
          <w:color w:val="auto"/>
          <w:highlight w:val="white"/>
        </w:rPr>
      </w:pPr>
      <w:r>
        <w:rPr>
          <w:color w:val="auto"/>
          <w:highlight w:val="white"/>
        </w:rPr>
        <w:t>создан и действует региональный клуб экспортеров;</w:t>
      </w:r>
    </w:p>
    <w:p>
      <w:pPr>
        <w:pStyle w:val="14"/>
        <w:numPr>
          <w:ilvl w:val="0"/>
          <w:numId w:val="41"/>
        </w:numPr>
        <w:shd w:val="clear" w:color="auto" w:fill="auto"/>
        <w:spacing w:before="0" w:after="0"/>
        <w:ind w:hanging="425" w:left="425"/>
        <w:rPr>
          <w:color w:val="auto"/>
          <w:highlight w:val="white"/>
        </w:rPr>
      </w:pPr>
      <w:r>
        <w:rPr>
          <w:color w:val="auto"/>
          <w:highlight w:val="white"/>
        </w:rPr>
        <w:t>разработана программа менторства и наставничества в экспорте;</w:t>
      </w:r>
    </w:p>
    <w:p>
      <w:pPr>
        <w:pStyle w:val="14"/>
        <w:numPr>
          <w:ilvl w:val="0"/>
          <w:numId w:val="41"/>
        </w:numPr>
        <w:shd w:val="clear" w:color="auto" w:fill="auto"/>
        <w:ind w:hanging="425" w:left="425"/>
        <w:rPr>
          <w:color w:val="auto"/>
          <w:highlight w:val="white"/>
        </w:rPr>
      </w:pPr>
      <w:r>
        <w:rPr>
          <w:color w:val="auto"/>
          <w:highlight w:val="white"/>
        </w:rPr>
        <w:t>каждый запланированный в отчетном году показатель деятельности по обеспечению доступа Организаций к комплексным образовательным программам развития экспорта (п. 5 настоящего Инструмента) исполнен не менее чем на 60% до 1 декабря отчетного года.</w:t>
      </w:r>
    </w:p>
    <w:p>
      <w:pPr>
        <w:pStyle w:val="14"/>
        <w:shd w:val="clear" w:color="auto" w:fill="auto"/>
        <w:spacing w:before="0" w:after="120"/>
        <w:rPr>
          <w:color w:val="auto"/>
          <w:highlight w:val="white"/>
        </w:rPr>
      </w:pPr>
      <w:r>
        <w:rPr>
          <w:color w:val="auto"/>
          <w:highlight w:val="white"/>
        </w:rPr>
        <w:t>7.2.</w:t>
        <w:tab/>
        <w:t>Уровень 2:</w:t>
      </w:r>
    </w:p>
    <w:p>
      <w:pPr>
        <w:pStyle w:val="14"/>
        <w:numPr>
          <w:ilvl w:val="0"/>
          <w:numId w:val="68"/>
        </w:numPr>
        <w:shd w:val="clear" w:color="auto" w:fill="auto"/>
        <w:spacing w:before="0" w:after="0"/>
        <w:ind w:hanging="425" w:left="425"/>
        <w:rPr>
          <w:color w:val="auto"/>
          <w:highlight w:val="white"/>
        </w:rPr>
      </w:pPr>
      <w:r>
        <w:rPr>
          <w:color w:val="auto"/>
          <w:highlight w:val="white"/>
        </w:rPr>
        <w:t>каждый запланированный в отчетном году показатель деятельности по обеспечению доступа Организаций к акселерационным программам и другим комплексным инструментам развития экспорта (п. 5 настоящего Инструмента) исполнен на 100% до 1 декабря отчетного года;</w:t>
      </w:r>
    </w:p>
    <w:p>
      <w:pPr>
        <w:pStyle w:val="14"/>
        <w:numPr>
          <w:ilvl w:val="0"/>
          <w:numId w:val="68"/>
        </w:numPr>
        <w:shd w:val="clear" w:color="auto" w:fill="auto"/>
        <w:spacing w:before="0" w:after="120"/>
        <w:ind w:hanging="425" w:left="425"/>
        <w:rPr>
          <w:color w:val="auto"/>
          <w:highlight w:val="white"/>
        </w:rPr>
      </w:pPr>
      <w:r>
        <w:rPr>
          <w:color w:val="auto"/>
          <w:highlight w:val="white"/>
        </w:rPr>
        <w:t>в отчетном году Субъектом проведено не менее двух акселерационных программ, включая инкубационную программу, как в виде самостоятельных мероприятий в Субъекте, так и в виде обеспечения участия одной либо нескольких Организаций, зарегистрированных в Субъекте, в акселерационной программе, проводимой в другом Субъекте в межрегиональном формате.</w:t>
      </w:r>
    </w:p>
    <w:p>
      <w:pPr>
        <w:sectPr>
          <w:headerReference w:type="even" r:id="rId44"/>
          <w:headerReference w:type="default" r:id="rId45"/>
          <w:headerReference w:type="first" r:id="rId46"/>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120"/>
        <w:rPr>
          <w:color w:val="auto"/>
          <w:highlight w:val="white"/>
        </w:rPr>
      </w:pPr>
      <w:r>
        <w:rPr>
          <w:color w:val="auto"/>
          <w:highlight w:val="white"/>
        </w:rPr>
        <w:t>7.3.</w:t>
        <w:tab/>
        <w:t>Уровень 3: в отчетном году Субъектом проведено не менее двух акселерационных программ, включая программу в формате экспортного мини-МБА как в виде самостоятельных мероприятий в Субъекте, так и в виде обеспечения участия одной либо нескольких Организаций, зарегистрированных в Субъекте, в акселерационной программе, проводимой в другом Субъекте в межрегиональном формате.</w:t>
      </w:r>
    </w:p>
    <w:p>
      <w:pPr>
        <w:pStyle w:val="27"/>
        <w:keepNext w:val="true"/>
        <w:keepLines/>
        <w:shd w:val="clear" w:color="auto" w:fill="auto"/>
        <w:tabs>
          <w:tab w:val="clear" w:pos="709"/>
          <w:tab w:val="left" w:pos="566" w:leader="none"/>
        </w:tabs>
        <w:rPr>
          <w:color w:val="auto"/>
          <w:highlight w:val="white"/>
        </w:rPr>
      </w:pPr>
      <w:r>
        <w:rPr>
          <w:color w:val="auto"/>
          <w:highlight w:val="white"/>
        </w:rPr>
        <w:t>Инструмент 12. Создание и развитие системы подготовки кадров для сферы внешнеэкономической деятельности на базе высших учебных заведений</w:t>
      </w:r>
    </w:p>
    <w:p>
      <w:pPr>
        <w:pStyle w:val="14"/>
        <w:shd w:val="clear" w:color="auto" w:fill="auto"/>
        <w:rPr>
          <w:color w:val="auto"/>
          <w:highlight w:val="white"/>
        </w:rPr>
      </w:pPr>
      <w:r>
        <w:rPr>
          <w:color w:val="auto"/>
          <w:highlight w:val="white"/>
        </w:rPr>
        <w:t>1.</w:t>
        <w:tab/>
        <w:t>В целях создания и развития эффективной системы подготовки кадров для сферы внешнеэкономической деятельности, отвечающей потребностям экспортно ориентированных Организаций, Субъекту рекомендовано определить профильный РОИВ, ответственный за реализацию данного инструмента, и включить ответственное должностное лицо в состав управленческой команды Субъекта.</w:t>
      </w:r>
    </w:p>
    <w:p>
      <w:pPr>
        <w:pStyle w:val="14"/>
        <w:shd w:val="clear" w:color="auto" w:fill="auto"/>
        <w:rPr>
          <w:color w:val="auto"/>
          <w:highlight w:val="white"/>
          <w:shd w:fill="FFFFFF" w:val="clear"/>
        </w:rPr>
      </w:pPr>
      <w:r>
        <w:rPr>
          <w:color w:val="000000"/>
          <w:highlight w:val="white"/>
          <w:shd w:fill="FFFFFF" w:val="clear"/>
        </w:rPr>
        <w:t>2.</w:t>
        <w:tab/>
        <w:t xml:space="preserve">Субъекту рекомендуется разработать и реализовать План </w:t>
      </w:r>
      <w:r>
        <w:rPr>
          <w:rStyle w:val="12"/>
          <w:b w:val="false"/>
          <w:bCs w:val="false"/>
          <w:color w:val="auto"/>
          <w:highlight w:val="white"/>
        </w:rPr>
        <w:t xml:space="preserve">развития системы подготовки кадров в сфере </w:t>
      </w:r>
      <w:r>
        <w:rPr>
          <w:color w:val="auto"/>
          <w:highlight w:val="white"/>
        </w:rPr>
        <w:t>внешнеэкономической деятельности</w:t>
      </w:r>
      <w:r>
        <w:rPr>
          <w:rStyle w:val="12"/>
          <w:b w:val="false"/>
          <w:bCs w:val="false"/>
          <w:color w:val="auto"/>
          <w:highlight w:val="white"/>
        </w:rPr>
        <w:t xml:space="preserve"> </w:t>
      </w:r>
      <w:r>
        <w:rPr>
          <w:color w:val="auto"/>
          <w:highlight w:val="white"/>
        </w:rPr>
        <w:t xml:space="preserve">(далее – План подготовки кадров) </w:t>
      </w:r>
      <w:r>
        <w:rPr>
          <w:rStyle w:val="12"/>
          <w:b w:val="false"/>
          <w:bCs w:val="false"/>
          <w:color w:val="auto"/>
          <w:highlight w:val="white"/>
        </w:rPr>
        <w:t>до 2030 года</w:t>
      </w:r>
      <w:r>
        <w:rPr>
          <w:color w:val="000000"/>
          <w:highlight w:val="white"/>
          <w:shd w:fill="FFFFFF" w:val="clear"/>
        </w:rPr>
        <w:t>, включающий следующие мероприятия:</w:t>
      </w:r>
    </w:p>
    <w:p>
      <w:pPr>
        <w:pStyle w:val="Normal"/>
        <w:widowControl/>
        <w:spacing w:lineRule="auto" w:line="259" w:before="0" w:after="102"/>
        <w:jc w:val="both"/>
        <w:rPr>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highlight w:val="white"/>
        </w:rPr>
        <w:t>2.1.</w:t>
        <w:tab/>
        <w:t>Аналитический блок:</w:t>
      </w:r>
    </w:p>
    <w:p>
      <w:pPr>
        <w:pStyle w:val="Normal"/>
        <w:jc w:val="both"/>
        <w:rPr>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highlight w:val="white"/>
        </w:rPr>
        <w:t>2.1.1.</w:t>
        <w:tab/>
        <w:t>Оценка и прогнозирование потребности в специалистах по ВЭД:</w:t>
      </w:r>
      <w:r>
        <w:rPr>
          <w:rFonts w:eastAsia="Times New Roman" w:cs="Times New Roman" w:ascii="Times New Roman" w:hAnsi="Times New Roman"/>
          <w:color w:val="000000"/>
          <w:highlight w:val="white"/>
          <w:shd w:fill="FFFFFF" w:val="clear"/>
        </w:rPr>
        <w:t> анализ текущей и перспективной потребности рынка труда Субъекта в специалистах по ВЭД на основе изучения потребностей экспортеров, экспортно ориентированных Организаций, а также прогноза социально-экономического развития региона.</w:t>
      </w:r>
    </w:p>
    <w:p>
      <w:pPr>
        <w:pStyle w:val="Normal"/>
        <w:jc w:val="both"/>
        <w:rPr>
          <w:rFonts w:ascii="Times New Roman" w:hAnsi="Times New Roman" w:cs="Times New Roman"/>
          <w:color w:val="auto"/>
          <w:highlight w:val="white"/>
        </w:rPr>
      </w:pPr>
      <w:r>
        <w:rPr>
          <w:rFonts w:eastAsia="Times New Roman" w:cs="Times New Roman" w:ascii="Times New Roman" w:hAnsi="Times New Roman"/>
          <w:color w:val="000000"/>
          <w:highlight w:val="white"/>
          <w:shd w:fill="FFFFFF" w:val="clear"/>
        </w:rPr>
        <w:t>К разработке прогноза рекомендуется привлечь профильных экспертов, представителей экспортно ориентированных организаций, образовательных учреждений и профильных органов исполнительной власти.</w:t>
      </w:r>
    </w:p>
    <w:p>
      <w:pPr>
        <w:pStyle w:val="Normal"/>
        <w:spacing w:before="0" w:after="102"/>
        <w:jc w:val="both"/>
        <w:rPr>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highlight w:val="white"/>
        </w:rPr>
        <w:t>2.1.2.</w:t>
        <w:tab/>
        <w:t>Расчет плановых показателей по подготовке кадров в сфере ВЭД:</w:t>
      </w:r>
      <w:r>
        <w:rPr>
          <w:rFonts w:eastAsia="Times New Roman" w:cs="Times New Roman" w:ascii="Times New Roman" w:hAnsi="Times New Roman"/>
          <w:color w:val="000000"/>
          <w:highlight w:val="white"/>
          <w:shd w:fill="FFFFFF" w:val="clear"/>
        </w:rPr>
        <w:t> определение целевых показателей по количеству и категориям подготовленных специалистов по ВЭД на период до 2030 года.</w:t>
      </w:r>
    </w:p>
    <w:p>
      <w:pPr>
        <w:pStyle w:val="Normal"/>
        <w:spacing w:before="0" w:after="102"/>
        <w:jc w:val="both"/>
        <w:rPr>
          <w:rStyle w:val="12"/>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highlight w:val="white"/>
        </w:rPr>
        <w:t>2.2.</w:t>
        <w:tab/>
        <w:t>Образовательный блок:</w:t>
      </w:r>
    </w:p>
    <w:p>
      <w:pPr>
        <w:pStyle w:val="Normal"/>
        <w:jc w:val="both"/>
        <w:rPr>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highlight w:val="white"/>
        </w:rPr>
        <w:t>2.2.1.</w:t>
        <w:tab/>
        <w:t>Реализация образовательных программ:</w:t>
      </w:r>
      <w:r>
        <w:rPr>
          <w:rFonts w:eastAsia="Times New Roman" w:cs="Times New Roman" w:ascii="Times New Roman" w:hAnsi="Times New Roman"/>
          <w:color w:val="000000"/>
          <w:highlight w:val="white"/>
          <w:shd w:fill="FFFFFF" w:val="clear"/>
        </w:rPr>
        <w:t xml:space="preserve"> развитие и реализация профильных образовательных программ высшего и дополнительного профессионального образования в сфере ВЭД </w:t>
      </w:r>
      <w:r>
        <w:rPr>
          <w:rFonts w:eastAsia="Times New Roman" w:cs="Times New Roman" w:ascii="Times New Roman" w:hAnsi="Times New Roman"/>
          <w:color w:val="auto"/>
          <w:highlight w:val="white"/>
        </w:rPr>
        <w:t>(мировая экономика, мировое право, международные финансы, организация внешнеэкономической деятельности и другие направления, связанные с международной и внешнеэкономической деятельностью)</w:t>
      </w:r>
      <w:r>
        <w:rPr>
          <w:rFonts w:eastAsia="Times New Roman" w:cs="Times New Roman" w:ascii="Times New Roman" w:hAnsi="Times New Roman"/>
          <w:color w:val="000000"/>
          <w:highlight w:val="white"/>
          <w:shd w:fill="FFFFFF" w:val="clear"/>
        </w:rPr>
        <w:t xml:space="preserve"> в образовательных организациях.</w:t>
      </w:r>
    </w:p>
    <w:p>
      <w:pPr>
        <w:pStyle w:val="Normal"/>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2.2.2.</w:t>
      </w:r>
      <w:r>
        <w:rPr>
          <w:rStyle w:val="12"/>
          <w:rFonts w:eastAsia="Times New Roman" w:cs="Times New Roman" w:ascii="Times New Roman" w:hAnsi="Times New Roman"/>
          <w:b w:val="false"/>
          <w:bCs w:val="false"/>
          <w:color w:val="auto"/>
          <w:highlight w:val="white"/>
        </w:rPr>
        <w:tab/>
        <w:t>Организация практик и стажировок:</w:t>
      </w:r>
      <w:r>
        <w:rPr>
          <w:rFonts w:eastAsia="Times New Roman" w:cs="Times New Roman" w:ascii="Times New Roman" w:hAnsi="Times New Roman"/>
          <w:color w:val="000000"/>
          <w:highlight w:val="white"/>
          <w:shd w:fill="FFFFFF" w:val="clear"/>
        </w:rPr>
        <w:t> создание программ ознакомительных практик и стажировок для студентов профильных программ вузов в РОИВ-координаторе, ЦПЭ и на предприятиях-экспортерах.</w:t>
      </w:r>
    </w:p>
    <w:p>
      <w:pPr>
        <w:pStyle w:val="Normal"/>
        <w:spacing w:before="0" w:after="102"/>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2.2.3.</w:t>
      </w:r>
      <w:r>
        <w:rPr>
          <w:rStyle w:val="12"/>
          <w:rFonts w:eastAsia="Times New Roman" w:cs="Times New Roman" w:ascii="Times New Roman" w:hAnsi="Times New Roman"/>
          <w:b w:val="false"/>
          <w:bCs w:val="false"/>
          <w:color w:val="auto"/>
          <w:highlight w:val="white"/>
        </w:rPr>
        <w:tab/>
        <w:t>Повышение квалификации преподавателей:</w:t>
      </w:r>
      <w:r>
        <w:rPr>
          <w:rFonts w:eastAsia="Times New Roman" w:cs="Times New Roman" w:ascii="Times New Roman" w:hAnsi="Times New Roman"/>
          <w:color w:val="000000"/>
          <w:highlight w:val="white"/>
          <w:shd w:fill="FFFFFF" w:val="clear"/>
        </w:rPr>
        <w:t> реализация программ повышения квалификации преподавателей вузов, находящихся на территории Субъекта,</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highlight w:val="white"/>
          <w:shd w:fill="FFFFFF" w:val="clear"/>
        </w:rPr>
        <w:t>по актуальным вопросам ВЭД.</w:t>
      </w:r>
    </w:p>
    <w:p>
      <w:pPr>
        <w:pStyle w:val="Normal"/>
        <w:spacing w:before="0" w:after="102"/>
        <w:jc w:val="both"/>
        <w:rPr>
          <w:rStyle w:val="12"/>
          <w:rFonts w:ascii="Times New Roman" w:hAnsi="Times New Roman" w:cs="Times New Roman"/>
          <w:b w:val="false"/>
          <w:bCs w:val="false"/>
          <w:color w:val="auto"/>
          <w:highlight w:val="white"/>
        </w:rPr>
      </w:pPr>
      <w:r>
        <w:rPr>
          <w:rStyle w:val="12"/>
          <w:rFonts w:cs="Times New Roman" w:ascii="Times New Roman" w:hAnsi="Times New Roman"/>
          <w:b w:val="false"/>
          <w:bCs w:val="false"/>
          <w:color w:val="auto"/>
          <w:highlight w:val="white"/>
        </w:rPr>
        <w:t>2.3.</w:t>
        <w:tab/>
        <w:t>Трудоустройство:</w:t>
      </w:r>
    </w:p>
    <w:p>
      <w:pPr>
        <w:pStyle w:val="Normal"/>
        <w:jc w:val="both"/>
        <w:rPr>
          <w:rFonts w:ascii="Times New Roman" w:hAnsi="Times New Roman" w:cs="Times New Roman"/>
          <w:color w:val="auto"/>
          <w:highlight w:val="white"/>
        </w:rPr>
      </w:pPr>
      <w:r>
        <w:rPr>
          <w:rFonts w:eastAsia="Times New Roman" w:cs="Times New Roman" w:ascii="Times New Roman" w:hAnsi="Times New Roman"/>
          <w:color w:val="000000"/>
          <w:highlight w:val="white"/>
          <w:shd w:fill="FFFFFF" w:val="clear"/>
        </w:rPr>
        <w:t>2.3.1.</w:t>
        <w:tab/>
      </w:r>
      <w:r>
        <w:rPr>
          <w:rStyle w:val="12"/>
          <w:rFonts w:eastAsia="Times New Roman" w:cs="Times New Roman" w:ascii="Times New Roman" w:hAnsi="Times New Roman"/>
          <w:b w:val="false"/>
          <w:bCs w:val="false"/>
          <w:color w:val="auto"/>
          <w:highlight w:val="white"/>
        </w:rPr>
        <w:t>Разработка (актуализация действующей) системы профессиональной ориентации:</w:t>
      </w:r>
      <w:r>
        <w:rPr>
          <w:rFonts w:eastAsia="Times New Roman" w:cs="Times New Roman" w:ascii="Times New Roman" w:hAnsi="Times New Roman"/>
          <w:color w:val="000000"/>
          <w:highlight w:val="white"/>
          <w:shd w:fill="FFFFFF" w:val="clear"/>
        </w:rPr>
        <w:t> </w:t>
      </w:r>
      <w:r>
        <w:rPr>
          <w:rStyle w:val="12"/>
          <w:rFonts w:eastAsia="Times New Roman" w:cs="Times New Roman" w:ascii="Times New Roman" w:hAnsi="Times New Roman"/>
          <w:b w:val="false"/>
          <w:bCs w:val="false"/>
          <w:color w:val="auto"/>
          <w:highlight w:val="white"/>
        </w:rPr>
        <w:t>навигация молодежи, включая ознакомление с перспективами трудоустройства в сфере ВЭД в регионе.</w:t>
      </w:r>
    </w:p>
    <w:p>
      <w:pPr>
        <w:pStyle w:val="Normal"/>
        <w:spacing w:before="0" w:after="102"/>
        <w:jc w:val="both"/>
        <w:rPr>
          <w:rFonts w:ascii="Times New Roman" w:hAnsi="Times New Roman" w:cs="Times New Roman"/>
          <w:color w:val="auto"/>
          <w:highlight w:val="white"/>
        </w:rPr>
      </w:pPr>
      <w:r>
        <w:rPr>
          <w:rFonts w:eastAsia="Times New Roman" w:cs="Times New Roman" w:ascii="Times New Roman" w:hAnsi="Times New Roman"/>
          <w:color w:val="000000"/>
          <w:highlight w:val="white"/>
          <w:shd w:fill="FFFFFF" w:val="clear"/>
        </w:rPr>
        <w:t>2.3.2.</w:t>
      </w:r>
      <w:r>
        <w:rPr>
          <w:rStyle w:val="12"/>
          <w:rFonts w:eastAsia="Times New Roman" w:cs="Times New Roman" w:ascii="Times New Roman" w:hAnsi="Times New Roman"/>
          <w:b w:val="false"/>
          <w:bCs w:val="false"/>
          <w:color w:val="auto"/>
          <w:highlight w:val="white"/>
        </w:rPr>
        <w:tab/>
        <w:t>Разработка (актуализация действующего)</w:t>
      </w:r>
      <w:r>
        <w:rPr>
          <w:rStyle w:val="12"/>
          <w:rFonts w:eastAsia="Times New Roman" w:cs="Times New Roman" w:ascii="Times New Roman" w:hAnsi="Times New Roman"/>
          <w:b w:val="false"/>
          <w:bCs w:val="false"/>
          <w:color w:val="auto"/>
        </w:rPr>
        <w:t xml:space="preserve"> </w:t>
      </w:r>
      <w:r>
        <w:rPr>
          <w:rStyle w:val="12"/>
          <w:rFonts w:eastAsia="Times New Roman" w:cs="Times New Roman" w:ascii="Times New Roman" w:hAnsi="Times New Roman"/>
          <w:b w:val="false"/>
          <w:bCs w:val="false"/>
          <w:color w:val="auto"/>
          <w:highlight w:val="white"/>
        </w:rPr>
        <w:t>механизма трудоустройства выпускников вузов:</w:t>
      </w:r>
      <w:r>
        <w:rPr>
          <w:rFonts w:eastAsia="Times New Roman" w:cs="Times New Roman" w:ascii="Times New Roman" w:hAnsi="Times New Roman"/>
          <w:color w:val="000000"/>
          <w:highlight w:val="white"/>
          <w:shd w:fill="FFFFFF" w:val="clear"/>
        </w:rPr>
        <w:t> создание и/или развитие механизма содействия трудоустройству выпускников вузов по специальностям ВЭД на предприятия-экспортеры.</w:t>
      </w:r>
    </w:p>
    <w:p>
      <w:pPr>
        <w:pStyle w:val="Normal"/>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3.</w:t>
        <w:tab/>
        <w:t xml:space="preserve">Для мониторинга и оценки эффективности реализации </w:t>
      </w:r>
      <w:r>
        <w:rPr>
          <w:rFonts w:eastAsia="Times New Roman" w:cs="Times New Roman" w:ascii="Times New Roman" w:hAnsi="Times New Roman"/>
          <w:color w:val="auto"/>
          <w:highlight w:val="white"/>
        </w:rPr>
        <w:t>Плана подготовки кадров</w:t>
      </w:r>
      <w:r>
        <w:rPr>
          <w:rFonts w:eastAsia="Times New Roman" w:cs="Times New Roman" w:ascii="Times New Roman" w:hAnsi="Times New Roman"/>
          <w:color w:val="000000"/>
          <w:highlight w:val="white"/>
          <w:shd w:fill="FFFFFF" w:val="clear"/>
        </w:rPr>
        <w:t xml:space="preserve"> рекомендуется ежегодно отслеживать следующие показатели:</w:t>
      </w:r>
    </w:p>
    <w:p>
      <w:pPr>
        <w:pStyle w:val="ListParagraph"/>
        <w:widowControl/>
        <w:numPr>
          <w:ilvl w:val="0"/>
          <w:numId w:val="73"/>
        </w:numPr>
        <w:ind w:hanging="425" w:left="425"/>
        <w:jc w:val="both"/>
        <w:rPr>
          <w:rFonts w:ascii="Times New Roman" w:hAnsi="Times New Roman" w:cs="Times New Roman"/>
          <w:color w:val="auto"/>
          <w:highlight w:val="white"/>
        </w:rPr>
      </w:pPr>
      <w:r>
        <w:rPr>
          <w:rFonts w:eastAsia="Times New Roman" w:cs="Times New Roman" w:ascii="Times New Roman" w:hAnsi="Times New Roman"/>
          <w:color w:val="000000"/>
          <w:highlight w:val="white"/>
          <w:shd w:fill="FFFFFF" w:val="clear"/>
        </w:rPr>
        <w:t>количество человек, прошедших обучение по программам подготовки и переподготовки кадров в сфере ВЭД;</w:t>
      </w:r>
    </w:p>
    <w:p>
      <w:pPr>
        <w:pStyle w:val="ListParagraph"/>
        <w:widowControl/>
        <w:numPr>
          <w:ilvl w:val="0"/>
          <w:numId w:val="73"/>
        </w:numPr>
        <w:ind w:hanging="425" w:left="425"/>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количество студентов и выпускников вузов по специальностям ВЭД, прошедших практику либо стажировку в РОИВ-координаторе, ЦПЭ и на предприятиях-экспортерах;</w:t>
      </w:r>
    </w:p>
    <w:p>
      <w:pPr>
        <w:pStyle w:val="ListParagraph"/>
        <w:widowControl/>
        <w:numPr>
          <w:ilvl w:val="0"/>
          <w:numId w:val="73"/>
        </w:numPr>
        <w:ind w:hanging="425" w:left="425"/>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количество выпускников вузов по специальностям ВЭД, трудоустроенных в организациях, зарегистрированных на территории Субъекта</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highlight w:val="white"/>
          <w:shd w:fill="FFFFFF" w:val="clear"/>
        </w:rPr>
        <w:t>осуществляющих или планирующих осуществлять экспортную деятельность;</w:t>
      </w:r>
    </w:p>
    <w:p>
      <w:pPr>
        <w:pStyle w:val="ListParagraph"/>
        <w:widowControl/>
        <w:numPr>
          <w:ilvl w:val="0"/>
          <w:numId w:val="73"/>
        </w:numPr>
        <w:spacing w:before="0" w:after="102"/>
        <w:ind w:hanging="425" w:left="425"/>
        <w:contextualSpacing/>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другие показатели, определяемые Субъектом.</w:t>
      </w:r>
    </w:p>
    <w:p>
      <w:pPr>
        <w:pStyle w:val="Normal"/>
        <w:spacing w:before="0" w:after="102"/>
        <w:jc w:val="both"/>
        <w:rPr>
          <w:color w:val="auto"/>
        </w:rPr>
      </w:pPr>
      <w:r>
        <w:rPr>
          <w:rFonts w:cs="Times New Roman" w:ascii="Times New Roman" w:hAnsi="Times New Roman"/>
          <w:color w:val="auto"/>
          <w:highlight w:val="white"/>
        </w:rPr>
        <w:t>4.</w:t>
        <w:tab/>
      </w:r>
      <w:r>
        <w:rPr>
          <w:rFonts w:eastAsia="Times New Roman" w:cs="Times New Roman" w:ascii="Times New Roman" w:hAnsi="Times New Roman"/>
          <w:color w:val="auto"/>
          <w:highlight w:val="white"/>
        </w:rPr>
        <w:t>План подготовки кадров</w:t>
      </w:r>
      <w:r>
        <w:rPr>
          <w:rFonts w:cs="Times New Roman" w:ascii="Times New Roman" w:hAnsi="Times New Roman"/>
          <w:color w:val="auto"/>
          <w:highlight w:val="white"/>
        </w:rPr>
        <w:t xml:space="preserve"> может быть разработан в одной из следующих форм по усмотрению Субъекта:</w:t>
      </w:r>
    </w:p>
    <w:p>
      <w:pPr>
        <w:pStyle w:val="ListParagraph"/>
        <w:numPr>
          <w:ilvl w:val="0"/>
          <w:numId w:val="132"/>
        </w:numPr>
        <w:ind w:hanging="425" w:left="425"/>
        <w:jc w:val="both"/>
        <w:rPr>
          <w:color w:val="auto"/>
        </w:rPr>
      </w:pPr>
      <w:r>
        <w:rPr>
          <w:rFonts w:cs="Times New Roman" w:ascii="Times New Roman" w:hAnsi="Times New Roman"/>
          <w:color w:val="auto"/>
          <w:highlight w:val="white"/>
        </w:rPr>
        <w:t>как раздел Региональной программы Субъекта либо её приложения;</w:t>
      </w:r>
    </w:p>
    <w:p>
      <w:pPr>
        <w:pStyle w:val="ListParagraph"/>
        <w:numPr>
          <w:ilvl w:val="0"/>
          <w:numId w:val="132"/>
        </w:numPr>
        <w:ind w:hanging="425" w:left="425"/>
        <w:jc w:val="both"/>
        <w:rPr>
          <w:color w:val="auto"/>
        </w:rPr>
      </w:pPr>
      <w:r>
        <w:rPr>
          <w:rFonts w:cs="Times New Roman" w:ascii="Times New Roman" w:hAnsi="Times New Roman"/>
          <w:color w:val="auto"/>
          <w:highlight w:val="white"/>
        </w:rPr>
        <w:t>как отдельное приложение к Региональной программе;</w:t>
      </w:r>
    </w:p>
    <w:p>
      <w:pPr>
        <w:pStyle w:val="ListParagraph"/>
        <w:numPr>
          <w:ilvl w:val="0"/>
          <w:numId w:val="132"/>
        </w:numPr>
        <w:spacing w:before="0" w:after="102"/>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Normal"/>
        <w:spacing w:before="0" w:after="102"/>
        <w:jc w:val="both"/>
        <w:rPr>
          <w:rFonts w:ascii="Times New Roman" w:hAnsi="Times New Roman" w:cs="Times New Roman"/>
          <w:color w:val="auto"/>
          <w:highlight w:val="white"/>
        </w:rPr>
      </w:pPr>
      <w:r>
        <w:rPr>
          <w:rFonts w:cs="Times New Roman" w:ascii="Times New Roman" w:hAnsi="Times New Roman"/>
          <w:color w:val="auto"/>
        </w:rPr>
        <w:t>5.</w:t>
        <w:tab/>
      </w:r>
      <w:r>
        <w:rPr>
          <w:rFonts w:cs="Times New Roman" w:ascii="Times New Roman" w:hAnsi="Times New Roman"/>
          <w:color w:val="auto"/>
          <w:highlight w:val="white"/>
        </w:rPr>
        <w:t>В целях о</w:t>
      </w:r>
      <w:r>
        <w:rPr>
          <w:rFonts w:cs="Times New Roman" w:ascii="Times New Roman" w:hAnsi="Times New Roman"/>
          <w:color w:val="000000"/>
          <w:highlight w:val="white"/>
          <w:shd w:fill="FFFFFF" w:val="clear"/>
        </w:rPr>
        <w:t>беспечения региона квалифицированными кадрами в сфере ВЭД путем развития качественных образовательных программ и повышения квалификации преподавателей Субъекту рекомендуется:</w:t>
      </w:r>
    </w:p>
    <w:p>
      <w:pPr>
        <w:pStyle w:val="Normal"/>
        <w:spacing w:before="0" w:after="102"/>
        <w:jc w:val="both"/>
        <w:rPr>
          <w:rFonts w:ascii="Times New Roman" w:hAnsi="Times New Roman" w:cs="Times New Roman"/>
          <w:color w:val="auto"/>
          <w:highlight w:val="white"/>
        </w:rPr>
      </w:pPr>
      <w:r>
        <w:rPr>
          <w:rStyle w:val="12"/>
          <w:rFonts w:cs="Times New Roman" w:ascii="Times New Roman" w:hAnsi="Times New Roman"/>
          <w:b w:val="false"/>
          <w:bCs w:val="false"/>
          <w:color w:val="auto"/>
        </w:rPr>
        <w:t>5</w:t>
      </w:r>
      <w:r>
        <w:rPr>
          <w:rStyle w:val="12"/>
          <w:rFonts w:cs="Times New Roman" w:ascii="Times New Roman" w:hAnsi="Times New Roman"/>
          <w:b w:val="false"/>
          <w:bCs w:val="false"/>
          <w:color w:val="auto"/>
          <w:highlight w:val="white"/>
        </w:rPr>
        <w:t>.1.</w:t>
        <w:tab/>
        <w:t>Обеспечить доступ заинтересованных целевых аудиторий (студентов и действующих специалистов) к образовательным программам.</w:t>
      </w:r>
      <w:r>
        <w:rPr>
          <w:rFonts w:cs="Times New Roman" w:ascii="Times New Roman" w:hAnsi="Times New Roman"/>
          <w:color w:val="000000"/>
          <w:highlight w:val="white"/>
          <w:shd w:fill="FFFFFF" w:val="clear"/>
        </w:rPr>
        <w:t> Расширить возможности обучения по профильным программам высшего и дополнительного профессионального образования в сфере ВЭД (мировая экономика, международное право, международные финансы, организация ВЭД и др.) на базе учебных заведений.</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.2.</w:t>
        <w:tab/>
        <w:t>Активно привлекать к разработке и реализации образовательных программ экспертов с практическим опытом в сфере ВЭД представителей органов власти и бизнеса.</w:t>
      </w:r>
    </w:p>
    <w:p>
      <w:pPr>
        <w:pStyle w:val="Normal"/>
        <w:spacing w:before="0" w:after="102"/>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shd w:fill="FFFFFF" w:val="clear"/>
        </w:rPr>
        <w:t>5</w:t>
      </w:r>
      <w:r>
        <w:rPr>
          <w:rFonts w:eastAsia="Times New Roman" w:cs="Times New Roman" w:ascii="Times New Roman" w:hAnsi="Times New Roman"/>
          <w:color w:val="000000"/>
          <w:highlight w:val="white"/>
          <w:shd w:fill="FFFFFF" w:val="clear"/>
        </w:rPr>
        <w:t>.3.</w:t>
        <w:tab/>
        <w:t>При разработке новых или корректировке существующих программ учитывать Стратегию развития внешнеэкономической деятельности Российской Федерации до 2030 года, уделяя особое внимание:</w:t>
      </w:r>
    </w:p>
    <w:p>
      <w:pPr>
        <w:pStyle w:val="ListParagraph"/>
        <w:widowControl/>
        <w:numPr>
          <w:ilvl w:val="0"/>
          <w:numId w:val="71"/>
        </w:numPr>
        <w:ind w:hanging="425" w:left="425"/>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приоритетным странам и регионам для развития торговых отношений;</w:t>
      </w:r>
    </w:p>
    <w:p>
      <w:pPr>
        <w:pStyle w:val="ListParagraph"/>
        <w:widowControl/>
        <w:numPr>
          <w:ilvl w:val="0"/>
          <w:numId w:val="71"/>
        </w:numPr>
        <w:ind w:hanging="425" w:left="425"/>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изучению новых региональных рынков, включая ближнее зарубежье (деловое регионоведение);</w:t>
      </w:r>
    </w:p>
    <w:p>
      <w:pPr>
        <w:pStyle w:val="ListParagraph"/>
        <w:widowControl/>
        <w:numPr>
          <w:ilvl w:val="0"/>
          <w:numId w:val="71"/>
        </w:numPr>
        <w:ind w:hanging="425" w:left="425"/>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расширению спектра изучаемых иностранных языков;</w:t>
      </w:r>
    </w:p>
    <w:p>
      <w:pPr>
        <w:pStyle w:val="ListParagraph"/>
        <w:widowControl/>
        <w:numPr>
          <w:ilvl w:val="0"/>
          <w:numId w:val="71"/>
        </w:numPr>
        <w:spacing w:before="0" w:after="102"/>
        <w:ind w:hanging="425" w:left="425"/>
        <w:contextualSpacing/>
        <w:jc w:val="both"/>
        <w:rPr>
          <w:rFonts w:ascii="Times New Roman" w:hAnsi="Times New Roman" w:cs="Times New Roman"/>
          <w:color w:val="auto"/>
          <w:highlight w:val="white"/>
          <w:shd w:fill="FFFFFF" w:val="clear"/>
        </w:rPr>
      </w:pPr>
      <w:r>
        <w:rPr>
          <w:rFonts w:eastAsia="Times New Roman" w:cs="Times New Roman" w:ascii="Times New Roman" w:hAnsi="Times New Roman"/>
          <w:color w:val="000000"/>
          <w:highlight w:val="white"/>
          <w:shd w:fill="FFFFFF" w:val="clear"/>
        </w:rPr>
        <w:t>организации страновых стажировок для погружения в региональную бизнес-среду, в том числе в рамках программ двух дипломов с российскими и зарубежными вузами-партнерами.</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.4.</w:t>
        <w:tab/>
        <w:t xml:space="preserve">Создать условия для регулярного повышения уровня практических компетенций преподавателей вузов, </w:t>
      </w:r>
      <w:r>
        <w:rPr>
          <w:rFonts w:eastAsia="Times New Roman" w:cs="Times New Roman" w:ascii="Times New Roman" w:hAnsi="Times New Roman"/>
          <w:color w:val="000000"/>
          <w:highlight w:val="white"/>
          <w:shd w:fill="FFFFFF" w:val="clear"/>
        </w:rPr>
        <w:t>находящихся на территории Субъекта,</w:t>
      </w:r>
      <w:r>
        <w:rPr>
          <w:rFonts w:cs="Times New Roman" w:ascii="Times New Roman" w:hAnsi="Times New Roman"/>
          <w:color w:val="000000"/>
          <w:highlight w:val="white"/>
          <w:shd w:fill="FFFFFF" w:val="clear"/>
        </w:rPr>
        <w:t xml:space="preserve"> по актуальным вопросам ВЭД, включая:</w:t>
      </w:r>
    </w:p>
    <w:p>
      <w:pPr>
        <w:pStyle w:val="ListParagraph"/>
        <w:widowControl/>
        <w:numPr>
          <w:ilvl w:val="0"/>
          <w:numId w:val="72"/>
        </w:numPr>
        <w:ind w:hanging="425" w:left="425"/>
        <w:jc w:val="both"/>
        <w:rPr>
          <w:rFonts w:ascii="Times New Roman" w:hAnsi="Times New Roman" w:cs="Times New Roman"/>
          <w:color w:val="auto"/>
          <w:highlight w:val="white"/>
          <w:shd w:fill="FFFFFF" w:val="clear"/>
        </w:rPr>
      </w:pPr>
      <w:r>
        <w:rPr>
          <w:rFonts w:cs="Times New Roman" w:ascii="Times New Roman" w:hAnsi="Times New Roman"/>
          <w:color w:val="000000"/>
          <w:highlight w:val="white"/>
          <w:shd w:fill="FFFFFF" w:val="clear"/>
        </w:rPr>
        <w:t>обучающие программы с участием органов власти и бизнеса;</w:t>
      </w:r>
    </w:p>
    <w:p>
      <w:pPr>
        <w:pStyle w:val="ListParagraph"/>
        <w:widowControl/>
        <w:numPr>
          <w:ilvl w:val="0"/>
          <w:numId w:val="72"/>
        </w:numPr>
        <w:ind w:hanging="425" w:left="425"/>
        <w:jc w:val="both"/>
        <w:rPr>
          <w:rFonts w:ascii="Times New Roman" w:hAnsi="Times New Roman" w:cs="Times New Roman"/>
          <w:color w:val="auto"/>
          <w:highlight w:val="white"/>
          <w:shd w:fill="FFFFFF" w:val="clear"/>
        </w:rPr>
      </w:pPr>
      <w:r>
        <w:rPr>
          <w:rFonts w:cs="Times New Roman" w:ascii="Times New Roman" w:hAnsi="Times New Roman"/>
          <w:color w:val="000000"/>
          <w:highlight w:val="white"/>
          <w:shd w:fill="FFFFFF" w:val="clear"/>
        </w:rPr>
        <w:t>стажировки на предприятиях-экспортерах, в профильном РОИВ, ЦПЭ и других организациях инфраструктуры поддержки экспорта;</w:t>
      </w:r>
    </w:p>
    <w:p>
      <w:pPr>
        <w:pStyle w:val="ListParagraph"/>
        <w:widowControl/>
        <w:numPr>
          <w:ilvl w:val="0"/>
          <w:numId w:val="72"/>
        </w:numPr>
        <w:spacing w:before="0" w:after="102"/>
        <w:ind w:hanging="425" w:left="425"/>
        <w:contextualSpacing/>
        <w:jc w:val="both"/>
        <w:rPr>
          <w:rFonts w:ascii="Times New Roman" w:hAnsi="Times New Roman" w:cs="Times New Roman"/>
          <w:color w:val="auto"/>
          <w:highlight w:val="white"/>
          <w:shd w:fill="FFFFFF" w:val="clear"/>
        </w:rPr>
      </w:pPr>
      <w:r>
        <w:rPr>
          <w:rFonts w:cs="Times New Roman" w:ascii="Times New Roman" w:hAnsi="Times New Roman"/>
          <w:color w:val="000000"/>
          <w:highlight w:val="white"/>
          <w:shd w:fill="FFFFFF" w:val="clear"/>
        </w:rPr>
        <w:t>направление на повышение квалификации в ведущие вузы России.</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.5.</w:t>
        <w:tab/>
        <w:t>Активно использовать и популяризировать механизм целевого обучения, при котором обучение будущих специалистов по ВЭД финансируется в том числе потенциальным работодателем.</w:t>
      </w:r>
    </w:p>
    <w:p>
      <w:pPr>
        <w:pStyle w:val="Normal"/>
        <w:spacing w:before="0" w:after="102"/>
        <w:jc w:val="both"/>
        <w:rPr>
          <w:rFonts w:ascii="Times New Roman" w:hAnsi="Times New Roman" w:eastAsia="Times New Roman" w:cs="Times New Roman"/>
          <w:color w:val="auto"/>
          <w:highlight w:val="white"/>
          <w:shd w:fill="FFFFFF" w:val="clear"/>
        </w:rPr>
      </w:pPr>
      <w:r>
        <w:rPr>
          <w:rFonts w:eastAsia="Times New Roman" w:cs="Times New Roman" w:ascii="Times New Roman" w:hAnsi="Times New Roman"/>
          <w:color w:val="000000"/>
          <w:shd w:fill="FFFFFF" w:val="clear"/>
        </w:rPr>
        <w:t>5</w:t>
      </w:r>
      <w:r>
        <w:rPr>
          <w:rFonts w:eastAsia="Times New Roman" w:cs="Times New Roman" w:ascii="Times New Roman" w:hAnsi="Times New Roman"/>
          <w:color w:val="000000"/>
          <w:highlight w:val="white"/>
          <w:shd w:fill="FFFFFF" w:val="clear"/>
        </w:rPr>
        <w:t>.6.</w:t>
        <w:tab/>
        <w:t>В случае отсутствия профильных программ ВЭД в Субъекте централизованно направлять студентов на обучение в другие регионы с использованием механизма целевого направления и последующей обязательной отработкой в органах исполнительной власти, инфраструктуре развития экспорта Субъекта или экспортно ориентированных организациях (в зависимости от источника финансирования обучения).</w:t>
      </w:r>
    </w:p>
    <w:p>
      <w:pPr>
        <w:pStyle w:val="Normal"/>
        <w:spacing w:before="0" w:after="102"/>
        <w:jc w:val="both"/>
        <w:rPr>
          <w:rFonts w:ascii="Times New Roman" w:hAnsi="Times New Roman" w:cs="Times New Roman"/>
          <w:color w:val="auto"/>
          <w:highlight w:val="white"/>
          <w:shd w:fill="FFFFFF" w:val="clear"/>
        </w:rPr>
      </w:pPr>
      <w:r>
        <w:rPr>
          <w:rStyle w:val="12"/>
          <w:rFonts w:eastAsia="Times New Roman" w:cs="Times New Roman" w:ascii="Times New Roman" w:hAnsi="Times New Roman"/>
          <w:b w:val="false"/>
          <w:bCs w:val="false"/>
          <w:color w:val="auto"/>
        </w:rPr>
        <w:t>5</w:t>
      </w:r>
      <w:r>
        <w:rPr>
          <w:rStyle w:val="12"/>
          <w:rFonts w:eastAsia="Times New Roman" w:cs="Times New Roman" w:ascii="Times New Roman" w:hAnsi="Times New Roman"/>
          <w:b w:val="false"/>
          <w:bCs w:val="false"/>
          <w:color w:val="auto"/>
          <w:highlight w:val="white"/>
        </w:rPr>
        <w:t>.7.</w:t>
        <w:tab/>
        <w:t>Использовать потенциал других организаций – п</w:t>
      </w:r>
      <w:r>
        <w:rPr>
          <w:rFonts w:eastAsia="Times New Roman" w:cs="Times New Roman" w:ascii="Times New Roman" w:hAnsi="Times New Roman"/>
          <w:color w:val="000000"/>
          <w:highlight w:val="white"/>
          <w:shd w:fill="FFFFFF" w:val="clear"/>
        </w:rPr>
        <w:t xml:space="preserve">ривлекать к подготовке кадров в сфере ВЭД лицензированные учебные заведения, центры ДПО, включая АНО ДПО «Школа экспорта Акционерного общества «Российский экспортный центр», </w:t>
      </w:r>
      <w:r>
        <w:rPr>
          <w:rFonts w:eastAsia="Times New Roman" w:cs="Times New Roman" w:ascii="Times New Roman" w:hAnsi="Times New Roman"/>
          <w:color w:val="auto"/>
        </w:rPr>
        <w:t>учебные центры российских деловых объединений (РСПП, «ОПОРА РОССИИ», «Деловая Россия», Торгово-промышленная палата России),</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highlight w:val="white"/>
          <w:shd w:fill="FFFFFF" w:val="clear"/>
        </w:rPr>
        <w:t>иные образовательные организации.</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.8.</w:t>
        <w:tab/>
        <w:t>Обеспечить регулярное прохождение студентами профильных программ ВЭД ознакомительных практик и стажировок в профильном РОИВ, ЦПЭ и других организациях инфраструктуры поддержки экспорта Субъекта.</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.9.</w:t>
        <w:tab/>
        <w:t>Вовлекать студентов старших курсов бакалавриата и магистратуры в акселерационные программы и другие комплексные инструменты развития экспорта, реализуемые Субъектом (включая программы АНО ДПО «Школа экспорта Акционерного общества «Российский экспортный центр»), совместно с предприятиями-экспортерами.</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.10.</w:t>
        <w:tab/>
        <w:t>Разработать и внедрить механизм трудоустройства выпускников, основанный на следующих принципах:</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.10.1.</w:t>
        <w:tab/>
        <w:t>Партнерство и взаимодействие: активное вовлечение заинтересованных сторон, включая вузы, работодателей (экспортно ориентированные организации), региональные службы занятости и профильные органы исполнительной власти.</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.10.2.</w:t>
        <w:tab/>
        <w:t>Согласование спроса и предложения: координация потребностей работодателей в квалифицированных кадрах с образовательными программами вузов и профессиональной подготовкой студентов, включая анализ текущих и перспективных кадровых потребностей экспортного сектора и адаптацию образовательных программ к требованиям рынка.</w:t>
      </w:r>
    </w:p>
    <w:p>
      <w:pPr>
        <w:pStyle w:val="Normal"/>
        <w:spacing w:before="0" w:after="102"/>
        <w:jc w:val="both"/>
        <w:rPr>
          <w:rFonts w:ascii="Times New Roman" w:hAnsi="Times New Roman" w:cs="Times New Roman"/>
          <w:color w:val="auto"/>
          <w:highlight w:val="white"/>
          <w:shd w:fill="FFFFFF" w:val="clear"/>
        </w:rPr>
      </w:pPr>
      <w:r>
        <w:rPr>
          <w:rFonts w:cs="Times New Roman" w:ascii="Times New Roman" w:hAnsi="Times New Roman"/>
          <w:color w:val="000000"/>
          <w:shd w:fill="FFFFFF" w:val="clear"/>
        </w:rPr>
        <w:t>5</w:t>
      </w:r>
      <w:r>
        <w:rPr>
          <w:rFonts w:cs="Times New Roman" w:ascii="Times New Roman" w:hAnsi="Times New Roman"/>
          <w:color w:val="000000"/>
          <w:highlight w:val="white"/>
          <w:shd w:fill="FFFFFF" w:val="clear"/>
        </w:rPr>
        <w:t>.10.3.</w:t>
        <w:tab/>
        <w:t>Активное содействие трудоустройству: взаимодействие региональных служб занятости с вузами и работодателями для организации стажировок, практик и содействия в трудоустройстве выпускников, а также развитие инструментов прямой коммуникации между студентами и потенциальными работодателями.</w:t>
      </w:r>
    </w:p>
    <w:p>
      <w:pPr>
        <w:pStyle w:val="Normal"/>
        <w:spacing w:before="0" w:after="102"/>
        <w:jc w:val="both"/>
        <w:rPr>
          <w:rFonts w:ascii="Times New Roman" w:hAnsi="Times New Roman" w:cs="Times New Roman"/>
          <w:b/>
          <w:bCs/>
          <w:color w:val="auto"/>
        </w:rPr>
      </w:pPr>
      <w:r>
        <w:rPr>
          <w:rFonts w:cs="Times New Roman" w:ascii="Times New Roman" w:hAnsi="Times New Roman"/>
          <w:color w:val="auto"/>
          <w:highlight w:val="white"/>
        </w:rPr>
        <w:t>5.10.4.</w:t>
        <w:tab/>
      </w:r>
      <w:r>
        <w:rPr>
          <w:rFonts w:cs="Times New Roman" w:ascii="Times New Roman" w:hAnsi="Times New Roman"/>
          <w:color w:val="000000"/>
          <w:highlight w:val="white"/>
          <w:shd w:fill="FFFFFF" w:val="clear"/>
        </w:rPr>
        <w:t>Продвижение вакансий: организация ярмарок вакансий, специализированных мероприятий по трудоустройству в сфере ВЭД, размещение информации о вакансиях на онлайн-платформах и в других информационных ресурсах Субъекта.</w:t>
      </w:r>
    </w:p>
    <w:p>
      <w:pPr>
        <w:pStyle w:val="Normal"/>
        <w:spacing w:before="0" w:after="102"/>
        <w:jc w:val="both"/>
        <w:rPr>
          <w:color w:val="auto"/>
        </w:rPr>
      </w:pPr>
      <w:r>
        <w:rPr>
          <w:rFonts w:cs="Times New Roman" w:ascii="Times New Roman" w:hAnsi="Times New Roman"/>
          <w:color w:val="auto"/>
          <w:highlight w:val="white"/>
        </w:rPr>
        <w:t>6.</w:t>
        <w:tab/>
        <w:t xml:space="preserve">Субъекту рекомендуется ежегодно до 20 декабря отчётного года формировать, утверждать и направлять в Систему отчёт об исполнении Плана </w:t>
      </w:r>
      <w:r>
        <w:rPr>
          <w:rFonts w:eastAsia="Times New Roman" w:cs="Times New Roman" w:ascii="Times New Roman" w:hAnsi="Times New Roman"/>
          <w:color w:val="auto"/>
          <w:highlight w:val="white"/>
        </w:rPr>
        <w:t>подготовки кадров</w:t>
      </w:r>
      <w:r>
        <w:rPr>
          <w:rFonts w:cs="Times New Roman" w:ascii="Times New Roman" w:hAnsi="Times New Roman"/>
          <w:color w:val="auto"/>
          <w:highlight w:val="white"/>
        </w:rPr>
        <w:t>.</w:t>
      </w:r>
    </w:p>
    <w:p>
      <w:pPr>
        <w:pStyle w:val="Normal"/>
        <w:spacing w:before="0" w:after="102"/>
        <w:jc w:val="both"/>
        <w:rPr>
          <w:color w:val="auto"/>
        </w:rPr>
      </w:pPr>
      <w:r>
        <w:rPr>
          <w:rFonts w:cs="Times New Roman" w:ascii="Times New Roman" w:hAnsi="Times New Roman"/>
          <w:color w:val="auto"/>
          <w:highlight w:val="white"/>
        </w:rPr>
        <w:t>Форма утверждения отчёта определяется Субъектом самостоятельно из вариантов:</w:t>
      </w:r>
    </w:p>
    <w:p>
      <w:pPr>
        <w:pStyle w:val="ListParagraph"/>
        <w:numPr>
          <w:ilvl w:val="0"/>
          <w:numId w:val="133"/>
        </w:numPr>
        <w:ind w:hanging="425" w:left="425"/>
        <w:jc w:val="both"/>
        <w:rPr>
          <w:color w:val="auto"/>
        </w:rPr>
      </w:pPr>
      <w:r>
        <w:rPr>
          <w:rFonts w:cs="Times New Roman" w:ascii="Times New Roman" w:hAnsi="Times New Roman"/>
          <w:color w:val="auto"/>
          <w:highlight w:val="white"/>
        </w:rPr>
        <w:t>утвердительная надпись руководителя РОИВ-координатора либо профильного РОИВ, ответственного за реализацию настоящего Инструмента;</w:t>
      </w:r>
    </w:p>
    <w:p>
      <w:pPr>
        <w:pStyle w:val="ListParagraph"/>
        <w:numPr>
          <w:ilvl w:val="0"/>
          <w:numId w:val="133"/>
        </w:numPr>
        <w:ind w:hanging="425" w:left="425"/>
        <w:jc w:val="both"/>
        <w:rPr>
          <w:color w:val="auto"/>
        </w:rPr>
      </w:pPr>
      <w:r>
        <w:rPr>
          <w:rFonts w:cs="Times New Roman" w:ascii="Times New Roman" w:hAnsi="Times New Roman"/>
          <w:color w:val="auto"/>
          <w:highlight w:val="white"/>
        </w:rPr>
        <w:t>нормативно-правовой акт РОИВ-координатора либо профильного РОИВ, ответственного за реализацию настоящего Инструмента;</w:t>
      </w:r>
    </w:p>
    <w:p>
      <w:pPr>
        <w:pStyle w:val="ListParagraph"/>
        <w:numPr>
          <w:ilvl w:val="0"/>
          <w:numId w:val="133"/>
        </w:numPr>
        <w:spacing w:before="0" w:after="102"/>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spacing w:before="0" w:after="0"/>
        <w:rPr>
          <w:color w:val="auto"/>
          <w:highlight w:val="white"/>
        </w:rPr>
      </w:pPr>
      <w:r>
        <w:rPr>
          <w:color w:val="auto"/>
          <w:highlight w:val="white"/>
        </w:rPr>
        <w:t>7.</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spacing w:before="0" w:after="102"/>
        <w:rPr>
          <w:color w:val="auto"/>
          <w:highlight w:val="white"/>
        </w:rPr>
      </w:pPr>
      <w:r>
        <w:rPr>
          <w:color w:val="auto"/>
          <w:highlight w:val="white"/>
        </w:rPr>
        <w:t>7.1.</w:t>
        <w:tab/>
        <w:t>Уровень 1:</w:t>
      </w:r>
    </w:p>
    <w:p>
      <w:pPr>
        <w:pStyle w:val="14"/>
        <w:shd w:val="clear" w:color="auto" w:fill="auto"/>
        <w:spacing w:before="0" w:after="102"/>
        <w:rPr>
          <w:color w:val="auto"/>
          <w:highlight w:val="white"/>
        </w:rPr>
      </w:pPr>
      <w:r>
        <w:rPr>
          <w:color w:val="auto"/>
          <w:highlight w:val="white"/>
        </w:rPr>
        <w:t>7.1.1.</w:t>
        <w:tab/>
        <w:t>В первый год внедрения:</w:t>
      </w:r>
    </w:p>
    <w:p>
      <w:pPr>
        <w:pStyle w:val="14"/>
        <w:numPr>
          <w:ilvl w:val="0"/>
          <w:numId w:val="99"/>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2"/>
        </w:numPr>
        <w:shd w:val="clear" w:color="auto" w:fill="auto"/>
        <w:spacing w:before="0" w:after="0"/>
        <w:ind w:hanging="425" w:left="425"/>
        <w:rPr>
          <w:color w:val="auto"/>
          <w:highlight w:val="white"/>
        </w:rPr>
      </w:pPr>
      <w:r>
        <w:rPr>
          <w:color w:val="auto"/>
          <w:highlight w:val="white"/>
        </w:rPr>
        <w:t>разработан, утвержден и опубликован План подготовки кадров Субъекта до 2030 года;</w:t>
      </w:r>
    </w:p>
    <w:p>
      <w:pPr>
        <w:pStyle w:val="14"/>
        <w:numPr>
          <w:ilvl w:val="0"/>
          <w:numId w:val="42"/>
        </w:numPr>
        <w:shd w:val="clear" w:color="auto" w:fill="auto"/>
        <w:spacing w:before="0" w:after="102"/>
        <w:ind w:hanging="425" w:left="425"/>
        <w:rPr>
          <w:color w:val="auto"/>
          <w:highlight w:val="white"/>
        </w:rPr>
      </w:pPr>
      <w:r>
        <w:rPr>
          <w:color w:val="auto"/>
          <w:highlight w:val="white"/>
        </w:rPr>
        <w:t>отчёт об исполнении Плана подготовки кадров предоставлен в Систему (согласован экспертом РЭЦ) до 20 декабря отчетного года.</w:t>
      </w:r>
    </w:p>
    <w:p>
      <w:pPr>
        <w:pStyle w:val="14"/>
        <w:shd w:val="clear" w:color="auto" w:fill="auto"/>
        <w:spacing w:before="0" w:after="102"/>
        <w:rPr>
          <w:color w:val="auto"/>
          <w:highlight w:val="white"/>
        </w:rPr>
      </w:pPr>
      <w:r>
        <w:rPr>
          <w:color w:val="auto"/>
          <w:highlight w:val="white"/>
        </w:rPr>
        <w:t>7.1.2.</w:t>
        <w:tab/>
        <w:t>Во второй год и далее:</w:t>
      </w:r>
    </w:p>
    <w:p>
      <w:pPr>
        <w:pStyle w:val="14"/>
        <w:numPr>
          <w:ilvl w:val="0"/>
          <w:numId w:val="100"/>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3"/>
        </w:numPr>
        <w:shd w:val="clear" w:color="auto" w:fill="auto"/>
        <w:spacing w:before="0" w:after="0"/>
        <w:ind w:hanging="425" w:left="425"/>
        <w:rPr>
          <w:color w:val="auto"/>
          <w:highlight w:val="white"/>
        </w:rPr>
      </w:pPr>
      <w:r>
        <w:rPr>
          <w:color w:val="auto"/>
          <w:highlight w:val="white"/>
        </w:rPr>
        <w:t>отчёт об исполнении Плана подготовки кадров предоставлен в Систему (согласован экспертом РЭЦ) до 20 декабря отчетного года;</w:t>
      </w:r>
    </w:p>
    <w:p>
      <w:pPr>
        <w:pStyle w:val="14"/>
        <w:numPr>
          <w:ilvl w:val="0"/>
          <w:numId w:val="43"/>
        </w:numPr>
        <w:shd w:val="clear" w:color="auto" w:fill="auto"/>
        <w:spacing w:before="0" w:after="0"/>
        <w:ind w:hanging="425" w:left="425"/>
        <w:rPr>
          <w:color w:val="auto"/>
          <w:highlight w:val="white"/>
        </w:rPr>
      </w:pPr>
      <w:r>
        <w:rPr>
          <w:color w:val="auto"/>
          <w:highlight w:val="white"/>
        </w:rPr>
        <w:t>количество мероприятий, предусмотренных в рамках Плана подготовки кадров на отчетный год, выполнено не менее чем на 80% до 20 декабря отчетного года;</w:t>
      </w:r>
    </w:p>
    <w:p>
      <w:pPr>
        <w:pStyle w:val="14"/>
        <w:numPr>
          <w:ilvl w:val="0"/>
          <w:numId w:val="43"/>
        </w:numPr>
        <w:shd w:val="clear" w:color="auto" w:fill="auto"/>
        <w:spacing w:before="0" w:after="102"/>
        <w:ind w:hanging="425" w:left="425"/>
        <w:rPr>
          <w:color w:val="auto"/>
          <w:highlight w:val="white"/>
        </w:rPr>
      </w:pPr>
      <w:r>
        <w:rPr>
          <w:color w:val="auto"/>
          <w:highlight w:val="white"/>
        </w:rPr>
        <w:t>достигнуто целевое значение (ненулевое) на отчетный год показателя «</w:t>
      </w:r>
      <w:r>
        <w:rPr>
          <w:color w:val="000000"/>
          <w:highlight w:val="white"/>
          <w:shd w:fill="FFFFFF" w:val="clear"/>
        </w:rPr>
        <w:t>количество человек, прошедших обучение по программам подготовки и переподготовки кадров в сфере ВЭД</w:t>
      </w:r>
      <w:r>
        <w:rPr>
          <w:color w:val="auto"/>
          <w:highlight w:val="white"/>
        </w:rPr>
        <w:t>» до 20 декабря отчетного года.</w:t>
      </w:r>
    </w:p>
    <w:p>
      <w:pPr>
        <w:pStyle w:val="14"/>
        <w:shd w:val="clear" w:color="auto" w:fill="auto"/>
        <w:spacing w:before="0" w:after="102"/>
        <w:rPr>
          <w:color w:val="auto"/>
          <w:highlight w:val="white"/>
        </w:rPr>
      </w:pPr>
      <w:r>
        <w:rPr>
          <w:color w:val="auto"/>
          <w:highlight w:val="white"/>
        </w:rPr>
        <w:t>7.2.</w:t>
        <w:tab/>
        <w:t>Уровень 2:</w:t>
      </w:r>
    </w:p>
    <w:p>
      <w:pPr>
        <w:pStyle w:val="14"/>
        <w:numPr>
          <w:ilvl w:val="0"/>
          <w:numId w:val="59"/>
        </w:numPr>
        <w:shd w:val="clear" w:color="auto" w:fill="auto"/>
        <w:spacing w:before="0" w:after="0"/>
        <w:ind w:hanging="425" w:left="425"/>
        <w:rPr>
          <w:color w:val="auto"/>
          <w:highlight w:val="white"/>
        </w:rPr>
      </w:pPr>
      <w:r>
        <w:rPr>
          <w:color w:val="auto"/>
          <w:highlight w:val="white"/>
        </w:rPr>
        <w:t>количество мероприятий, предусмотренных в рамках Плана подготовки кадров на отчетный год, выполнено не менее чем на 100% до 20 декабря отчетного года;</w:t>
      </w:r>
    </w:p>
    <w:p>
      <w:pPr>
        <w:pStyle w:val="14"/>
        <w:numPr>
          <w:ilvl w:val="0"/>
          <w:numId w:val="58"/>
        </w:numPr>
        <w:shd w:val="clear" w:color="auto" w:fill="auto"/>
        <w:spacing w:before="0" w:after="102"/>
        <w:ind w:hanging="425" w:left="425"/>
        <w:rPr>
          <w:color w:val="auto"/>
          <w:highlight w:val="white"/>
        </w:rPr>
      </w:pPr>
      <w:r>
        <w:rPr>
          <w:color w:val="auto"/>
          <w:highlight w:val="white"/>
        </w:rPr>
        <w:t>достигнуто целевое значение (ненулевое) на отчетный год показателя «количество студентов и выпускников вузов по специальностям ВЭД, прошедших практику либо стажировку в РОИВ-координаторе, ЦПЭ и на предприятиях-экспортерах» до 20 декабря отчетного года.</w:t>
      </w:r>
    </w:p>
    <w:p>
      <w:pPr>
        <w:sectPr>
          <w:headerReference w:type="even" r:id="rId47"/>
          <w:headerReference w:type="default" r:id="rId48"/>
          <w:headerReference w:type="first" r:id="rId49"/>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0"/>
        <w:rPr>
          <w:color w:val="auto"/>
          <w:highlight w:val="white"/>
        </w:rPr>
      </w:pPr>
      <w:r>
        <w:rPr>
          <w:color w:val="auto"/>
          <w:highlight w:val="white"/>
        </w:rPr>
        <w:t>7.3.</w:t>
        <w:tab/>
        <w:t>Уровень 3: достигнуто целевое значение (ненулевое) на отчетный год показателя «количество выпускников вузов по специальностям ВЭД, трудоустроенных в Организациях, осуществляющих или планирующих осуществлять экспортную деятельность на территории Субъекта» до 20 декабря отчетного года.</w:t>
      </w:r>
    </w:p>
    <w:p>
      <w:pPr>
        <w:pStyle w:val="25"/>
        <w:numPr>
          <w:ilvl w:val="0"/>
          <w:numId w:val="15"/>
        </w:numPr>
        <w:shd w:val="clear" w:color="auto" w:fill="auto"/>
        <w:tabs>
          <w:tab w:val="clear" w:pos="709"/>
          <w:tab w:val="left" w:pos="1417" w:leader="none"/>
        </w:tabs>
        <w:spacing w:before="0" w:after="102"/>
        <w:ind w:left="567" w:right="563"/>
        <w:jc w:val="center"/>
        <w:rPr>
          <w:color w:val="auto"/>
          <w:highlight w:val="white"/>
        </w:rPr>
      </w:pPr>
      <w:r>
        <w:rPr>
          <w:b/>
          <w:bCs/>
          <w:color w:val="auto"/>
          <w:highlight w:val="white"/>
        </w:rPr>
        <w:t xml:space="preserve">Механизмы продвижения региона на зарубежных рынках </w:t>
      </w:r>
      <w:r>
        <w:rPr>
          <w:b/>
          <w:bCs/>
          <w:color w:val="auto"/>
          <w:highlight w:val="white"/>
        </w:rPr>
        <w:br w:type="textWrapping" w:clear="all"/>
      </w:r>
      <w:r>
        <w:rPr>
          <w:b/>
          <w:bCs/>
          <w:color w:val="auto"/>
          <w:highlight w:val="white"/>
        </w:rPr>
        <w:t>и популяризация экспортной деятельности в субъекте</w:t>
      </w:r>
      <w:r>
        <w:rPr>
          <w:color w:val="auto"/>
          <w:highlight w:val="white"/>
        </w:rPr>
        <w:t xml:space="preserve"> </w:t>
      </w:r>
      <w:r>
        <w:rPr>
          <w:color w:val="auto"/>
          <w:highlight w:val="white"/>
        </w:rPr>
        <w:br w:type="textWrapping" w:clear="all"/>
      </w:r>
      <w:r>
        <w:rPr>
          <w:b/>
          <w:bCs/>
          <w:color w:val="auto"/>
          <w:highlight w:val="white"/>
        </w:rPr>
        <w:t>Российской Федерации</w:t>
      </w:r>
    </w:p>
    <w:p>
      <w:pPr>
        <w:pStyle w:val="14"/>
        <w:shd w:val="clear" w:color="auto" w:fill="auto"/>
        <w:tabs>
          <w:tab w:val="clear" w:pos="709"/>
          <w:tab w:val="left" w:pos="566" w:leader="none"/>
        </w:tabs>
        <w:rPr>
          <w:color w:val="auto"/>
          <w:highlight w:val="white"/>
        </w:rPr>
      </w:pPr>
      <w:r>
        <w:rPr>
          <w:b/>
          <w:bCs/>
          <w:color w:val="auto"/>
          <w:highlight w:val="white"/>
        </w:rPr>
        <w:t>Инструмент 13. Создание и развитие механизмов популяризации экспортной деятельности среди экономически активного населения и молодежи субъекта Российской Федерации</w:t>
      </w:r>
    </w:p>
    <w:p>
      <w:pPr>
        <w:pStyle w:val="14"/>
        <w:shd w:val="clear" w:color="auto" w:fill="auto"/>
        <w:spacing w:before="0" w:after="120"/>
        <w:rPr>
          <w:color w:val="auto"/>
          <w:highlight w:val="white"/>
        </w:rPr>
      </w:pPr>
      <w:r>
        <w:rPr>
          <w:color w:val="auto"/>
          <w:highlight w:val="white"/>
        </w:rPr>
        <w:t>1.</w:t>
        <w:tab/>
        <w:t>В Субъекте рекомендовано провести масштабную кампанию по популяризации экспортной деятельности среди субъектов предпринимательства, экономически активного населения и молодежи Субъекта, в том числе с использованием квот на социальную рекламу.</w:t>
      </w:r>
    </w:p>
    <w:p>
      <w:pPr>
        <w:pStyle w:val="14"/>
        <w:shd w:val="clear" w:color="auto" w:fill="auto"/>
        <w:rPr>
          <w:color w:val="auto"/>
          <w:highlight w:val="white"/>
        </w:rPr>
      </w:pPr>
      <w:r>
        <w:rPr>
          <w:color w:val="auto"/>
          <w:highlight w:val="white"/>
        </w:rPr>
        <w:t>2.</w:t>
        <w:tab/>
        <w:t>Субъекту рекомендуется создать специализированный раздел по экспорту на действующем интернет-ресурсе, посвященном развитию экономики Субъекта.</w:t>
      </w:r>
    </w:p>
    <w:p>
      <w:pPr>
        <w:pStyle w:val="14"/>
        <w:shd w:val="clear" w:color="auto" w:fill="auto"/>
        <w:spacing w:before="0" w:after="120"/>
        <w:rPr>
          <w:color w:val="auto"/>
          <w:highlight w:val="white"/>
        </w:rPr>
      </w:pPr>
      <w:r>
        <w:rPr>
          <w:color w:val="auto"/>
          <w:highlight w:val="white"/>
        </w:rPr>
        <w:t>В указанном разделе на интернет-ресурсе Субъекта необходимо размещать следующую информацию</w:t>
      </w:r>
      <w:r>
        <w:rPr>
          <w:rStyle w:val="FootnoteReference"/>
          <w:color w:val="auto"/>
          <w:highlight w:val="white"/>
        </w:rPr>
        <w:footnoteReference w:id="15"/>
      </w:r>
      <w:r>
        <w:rPr>
          <w:color w:val="auto"/>
          <w:highlight w:val="white"/>
        </w:rPr>
        <w:t>:</w:t>
      </w:r>
    </w:p>
    <w:p>
      <w:pPr>
        <w:pStyle w:val="14"/>
        <w:numPr>
          <w:ilvl w:val="0"/>
          <w:numId w:val="17"/>
        </w:numPr>
        <w:shd w:val="clear" w:color="auto" w:fill="auto"/>
        <w:spacing w:before="0" w:after="0"/>
        <w:ind w:hanging="425" w:left="425"/>
        <w:rPr>
          <w:color w:val="auto"/>
          <w:highlight w:val="white"/>
        </w:rPr>
      </w:pPr>
      <w:r>
        <w:rPr>
          <w:color w:val="auto"/>
          <w:highlight w:val="white"/>
        </w:rPr>
        <w:t xml:space="preserve">контактные данные РОИВ-координатора, инфраструктуры поддержки экспорта Субъекта, </w:t>
        <w:br/>
        <w:t>а также регионального представительства РЭЦ;</w:t>
      </w:r>
    </w:p>
    <w:p>
      <w:pPr>
        <w:pStyle w:val="14"/>
        <w:numPr>
          <w:ilvl w:val="0"/>
          <w:numId w:val="17"/>
        </w:numPr>
        <w:shd w:val="clear" w:color="auto" w:fill="auto"/>
        <w:spacing w:before="0" w:after="0"/>
        <w:ind w:hanging="425" w:left="425"/>
        <w:rPr>
          <w:color w:val="auto"/>
          <w:highlight w:val="white"/>
        </w:rPr>
      </w:pPr>
      <w:r>
        <w:rPr>
          <w:color w:val="auto"/>
          <w:highlight w:val="white"/>
        </w:rPr>
        <w:t>меры поддержки действующих и потенциальных экспортеров Субъекта;</w:t>
      </w:r>
    </w:p>
    <w:p>
      <w:pPr>
        <w:pStyle w:val="14"/>
        <w:numPr>
          <w:ilvl w:val="0"/>
          <w:numId w:val="17"/>
        </w:numPr>
        <w:shd w:val="clear" w:color="auto" w:fill="auto"/>
        <w:spacing w:before="0" w:after="0"/>
        <w:ind w:hanging="425" w:left="425"/>
        <w:rPr>
          <w:color w:val="auto"/>
          <w:highlight w:val="white"/>
        </w:rPr>
      </w:pPr>
      <w:r>
        <w:rPr>
          <w:color w:val="auto"/>
          <w:highlight w:val="white"/>
        </w:rPr>
        <w:t>контакты зарубежных торговых представительств Субъекта и/или ссылку на контакты торговых представительств Российской Федерации в иностранных государствах, представителей Министерства сельского хозяйства Российской Федерации, Министерства экономического развития Российской Федерации и других федеральных органов власти, имеющих рубежных представителей, а также представительств РЭЦ за рубежом;</w:t>
      </w:r>
    </w:p>
    <w:p>
      <w:pPr>
        <w:pStyle w:val="14"/>
        <w:numPr>
          <w:ilvl w:val="0"/>
          <w:numId w:val="17"/>
        </w:numPr>
        <w:shd w:val="clear" w:color="auto" w:fill="auto"/>
        <w:spacing w:before="0" w:after="0"/>
        <w:ind w:hanging="425" w:left="425"/>
        <w:rPr>
          <w:color w:val="auto"/>
          <w:highlight w:val="white"/>
        </w:rPr>
      </w:pPr>
      <w:r>
        <w:rPr>
          <w:color w:val="auto"/>
          <w:highlight w:val="white"/>
        </w:rPr>
        <w:t>ссылка на разделы «Торговые представительства» и «Международная кооперация и экспорт» на официальном сайте Минпромторга России;</w:t>
      </w:r>
    </w:p>
    <w:p>
      <w:pPr>
        <w:pStyle w:val="14"/>
        <w:numPr>
          <w:ilvl w:val="0"/>
          <w:numId w:val="17"/>
        </w:numPr>
        <w:shd w:val="clear" w:color="auto" w:fill="auto"/>
        <w:spacing w:before="0" w:after="0"/>
        <w:ind w:hanging="425" w:left="425"/>
        <w:rPr>
          <w:color w:val="auto"/>
          <w:highlight w:val="white"/>
        </w:rPr>
      </w:pPr>
      <w:r>
        <w:rPr>
          <w:color w:val="auto"/>
          <w:highlight w:val="white"/>
        </w:rPr>
        <w:t>Региональный экспортный стандарт и результаты его внедрения в регионе;</w:t>
      </w:r>
    </w:p>
    <w:p>
      <w:pPr>
        <w:pStyle w:val="14"/>
        <w:numPr>
          <w:ilvl w:val="0"/>
          <w:numId w:val="17"/>
        </w:numPr>
        <w:shd w:val="clear" w:color="auto" w:fill="auto"/>
        <w:spacing w:before="0" w:after="0"/>
        <w:ind w:hanging="425" w:left="425"/>
        <w:rPr>
          <w:color w:val="auto"/>
          <w:highlight w:val="white"/>
        </w:rPr>
      </w:pPr>
      <w:r>
        <w:rPr>
          <w:color w:val="auto"/>
          <w:highlight w:val="white"/>
        </w:rPr>
        <w:t>план заседаний и информацию о результатах заседаний Совета;</w:t>
      </w:r>
    </w:p>
    <w:p>
      <w:pPr>
        <w:pStyle w:val="14"/>
        <w:numPr>
          <w:ilvl w:val="0"/>
          <w:numId w:val="17"/>
        </w:numPr>
        <w:shd w:val="clear" w:color="auto" w:fill="auto"/>
        <w:spacing w:before="0" w:after="0"/>
        <w:ind w:hanging="425" w:left="425"/>
        <w:rPr>
          <w:color w:val="auto"/>
          <w:highlight w:val="white"/>
        </w:rPr>
      </w:pPr>
      <w:r>
        <w:rPr>
          <w:color w:val="auto"/>
          <w:highlight w:val="white"/>
        </w:rPr>
        <w:t>Стратегия ВЭД Субъекта;</w:t>
      </w:r>
    </w:p>
    <w:p>
      <w:pPr>
        <w:pStyle w:val="14"/>
        <w:numPr>
          <w:ilvl w:val="0"/>
          <w:numId w:val="17"/>
        </w:numPr>
        <w:shd w:val="clear" w:color="auto" w:fill="auto"/>
        <w:spacing w:before="0" w:after="0"/>
        <w:ind w:hanging="425" w:left="425"/>
        <w:rPr>
          <w:color w:val="auto"/>
          <w:highlight w:val="white"/>
        </w:rPr>
      </w:pPr>
      <w:r>
        <w:rPr>
          <w:color w:val="auto"/>
          <w:highlight w:val="white"/>
        </w:rPr>
        <w:t>Региональная программа развития экспорта Субъекта;</w:t>
      </w:r>
    </w:p>
    <w:p>
      <w:pPr>
        <w:pStyle w:val="14"/>
        <w:numPr>
          <w:ilvl w:val="0"/>
          <w:numId w:val="17"/>
        </w:numPr>
        <w:shd w:val="clear" w:color="auto" w:fill="auto"/>
        <w:spacing w:before="0" w:after="0"/>
        <w:ind w:hanging="425" w:left="425"/>
        <w:rPr>
          <w:color w:val="auto"/>
          <w:highlight w:val="white"/>
        </w:rPr>
      </w:pPr>
      <w:r>
        <w:rPr>
          <w:color w:val="auto"/>
          <w:highlight w:val="white"/>
        </w:rPr>
        <w:t>ежегодные итоги реализации Региональной программы;</w:t>
      </w:r>
    </w:p>
    <w:p>
      <w:pPr>
        <w:pStyle w:val="14"/>
        <w:numPr>
          <w:ilvl w:val="0"/>
          <w:numId w:val="17"/>
        </w:numPr>
        <w:shd w:val="clear" w:color="auto" w:fill="auto"/>
        <w:spacing w:before="0" w:after="0"/>
        <w:ind w:hanging="425" w:left="425"/>
        <w:rPr>
          <w:color w:val="auto"/>
          <w:highlight w:val="white"/>
        </w:rPr>
      </w:pPr>
      <w:r>
        <w:rPr>
          <w:color w:val="auto"/>
          <w:highlight w:val="white"/>
        </w:rPr>
        <w:t>истории успеха региональных экспортеров;</w:t>
      </w:r>
    </w:p>
    <w:p>
      <w:pPr>
        <w:pStyle w:val="14"/>
        <w:numPr>
          <w:ilvl w:val="0"/>
          <w:numId w:val="17"/>
        </w:numPr>
        <w:shd w:val="clear" w:color="auto" w:fill="auto"/>
        <w:spacing w:before="0" w:after="0"/>
        <w:ind w:hanging="425" w:left="425"/>
        <w:rPr>
          <w:color w:val="auto"/>
          <w:highlight w:val="white"/>
        </w:rPr>
      </w:pPr>
      <w:r>
        <w:rPr>
          <w:color w:val="auto"/>
          <w:highlight w:val="white"/>
        </w:rPr>
        <w:t>возможности и перспективы для студентов и молодежи по обучению, стажировкам и трудоустройству, истории успеха;</w:t>
      </w:r>
    </w:p>
    <w:p>
      <w:pPr>
        <w:pStyle w:val="14"/>
        <w:numPr>
          <w:ilvl w:val="0"/>
          <w:numId w:val="17"/>
        </w:numPr>
        <w:shd w:val="clear" w:color="auto" w:fill="auto"/>
        <w:spacing w:before="0" w:after="0"/>
        <w:ind w:hanging="425" w:left="425"/>
        <w:rPr>
          <w:color w:val="auto"/>
          <w:highlight w:val="white"/>
        </w:rPr>
      </w:pPr>
      <w:r>
        <w:rPr>
          <w:color w:val="auto"/>
          <w:highlight w:val="white"/>
        </w:rPr>
        <w:t>экспортная статистика региона;</w:t>
      </w:r>
    </w:p>
    <w:p>
      <w:pPr>
        <w:pStyle w:val="14"/>
        <w:numPr>
          <w:ilvl w:val="0"/>
          <w:numId w:val="17"/>
        </w:numPr>
        <w:shd w:val="clear" w:color="auto" w:fill="auto"/>
        <w:spacing w:before="0" w:after="0"/>
        <w:ind w:hanging="425" w:left="425"/>
        <w:rPr>
          <w:color w:val="auto"/>
          <w:highlight w:val="white"/>
        </w:rPr>
      </w:pPr>
      <w:r>
        <w:rPr>
          <w:color w:val="auto"/>
          <w:highlight w:val="white"/>
        </w:rPr>
        <w:t>федеральные и региональные новости и интервью, связанные с развитием экспорта;</w:t>
      </w:r>
    </w:p>
    <w:p>
      <w:pPr>
        <w:pStyle w:val="14"/>
        <w:numPr>
          <w:ilvl w:val="0"/>
          <w:numId w:val="17"/>
        </w:numPr>
        <w:shd w:val="clear" w:color="auto" w:fill="auto"/>
        <w:spacing w:before="0" w:after="0"/>
        <w:ind w:hanging="425" w:left="425"/>
        <w:rPr>
          <w:color w:val="auto"/>
          <w:highlight w:val="white"/>
        </w:rPr>
      </w:pPr>
      <w:r>
        <w:rPr>
          <w:color w:val="auto"/>
          <w:highlight w:val="white"/>
        </w:rPr>
        <w:t>график предстоящих мероприятий, в том числе мероприятий РЭЦ;</w:t>
      </w:r>
    </w:p>
    <w:p>
      <w:pPr>
        <w:pStyle w:val="14"/>
        <w:numPr>
          <w:ilvl w:val="0"/>
          <w:numId w:val="17"/>
        </w:numPr>
        <w:shd w:val="clear" w:color="auto" w:fill="auto"/>
        <w:spacing w:before="0" w:after="0"/>
        <w:ind w:hanging="425" w:left="425"/>
        <w:rPr>
          <w:color w:val="auto"/>
          <w:highlight w:val="white"/>
        </w:rPr>
      </w:pPr>
      <w:r>
        <w:rPr>
          <w:color w:val="auto"/>
          <w:highlight w:val="white"/>
        </w:rPr>
        <w:t>итоги проведенных мероприятий;</w:t>
      </w:r>
    </w:p>
    <w:p>
      <w:pPr>
        <w:pStyle w:val="14"/>
        <w:numPr>
          <w:ilvl w:val="0"/>
          <w:numId w:val="17"/>
        </w:numPr>
        <w:shd w:val="clear" w:color="auto" w:fill="auto"/>
        <w:spacing w:before="0" w:after="0"/>
        <w:ind w:hanging="425" w:left="425"/>
        <w:rPr>
          <w:color w:val="auto"/>
          <w:highlight w:val="white"/>
        </w:rPr>
      </w:pPr>
      <w:r>
        <w:rPr>
          <w:color w:val="auto"/>
          <w:highlight w:val="white"/>
        </w:rPr>
        <w:t>информация о преимуществах сервисов ИС «Одно окно», ссылка на сайт ИС «Одно окно»;</w:t>
      </w:r>
    </w:p>
    <w:p>
      <w:pPr>
        <w:pStyle w:val="14"/>
        <w:numPr>
          <w:ilvl w:val="0"/>
          <w:numId w:val="17"/>
        </w:numPr>
        <w:shd w:val="clear" w:color="auto" w:fill="auto"/>
        <w:ind w:hanging="425" w:left="425"/>
        <w:rPr>
          <w:color w:val="auto"/>
          <w:highlight w:val="white"/>
        </w:rPr>
      </w:pPr>
      <w:r>
        <w:rPr>
          <w:color w:val="auto"/>
          <w:highlight w:val="white"/>
        </w:rPr>
        <w:t xml:space="preserve">ссылка на сайт РЭЦ, АО РОСЭКСИМБАНК, АО «ЭКСАР», АНО ДПО «Школа </w:t>
      </w:r>
      <w:r>
        <w:rPr>
          <w:color w:val="auto"/>
          <w:highlight w:val="white"/>
        </w:rPr>
        <w:br w:type="textWrapping" w:clear="all"/>
      </w:r>
      <w:r>
        <w:rPr>
          <w:color w:val="auto"/>
          <w:highlight w:val="white"/>
        </w:rPr>
        <w:t>экспорта Акционерного общества «Российский экспортный центр».</w:t>
      </w:r>
    </w:p>
    <w:p>
      <w:pPr>
        <w:pStyle w:val="14"/>
        <w:shd w:val="clear" w:color="auto" w:fill="auto"/>
        <w:rPr>
          <w:color w:val="auto"/>
          <w:highlight w:val="white"/>
        </w:rPr>
      </w:pPr>
      <w:r>
        <w:rPr>
          <w:color w:val="auto"/>
          <w:highlight w:val="white"/>
        </w:rPr>
        <w:t>3.</w:t>
        <w:tab/>
        <w:t xml:space="preserve">Кроме того, Субъекту рекомендовано создать в крупнейших социальных сетях </w:t>
        <w:br/>
        <w:t>и в мессенджерах аккаунт, направленный на развитие экспорта Субъекта, в котором будут публиковаться основные новости региона в части экспортной деятельности, истории успеха региональных экспортеров, анонс и итоги региональных мероприятий, в том числе международных.</w:t>
      </w:r>
    </w:p>
    <w:p>
      <w:pPr>
        <w:pStyle w:val="14"/>
        <w:shd w:val="clear" w:color="auto" w:fill="auto"/>
        <w:spacing w:before="0" w:after="0"/>
        <w:rPr>
          <w:color w:val="auto"/>
          <w:highlight w:val="white"/>
        </w:rPr>
      </w:pPr>
      <w:r>
        <w:rPr>
          <w:color w:val="auto"/>
          <w:highlight w:val="white"/>
        </w:rPr>
        <w:t>4.</w:t>
        <w:tab/>
        <w:t>Субъекту рекомендовано инициировать размещения публикаций в средствах массовой информации региона (печатных, онлайн или телевидение), обеспечивая увеличение упоминаний мер поддержки, программ обучения экспортной деятельности, национального проекта «Международная кооперация и экспорт», историй успеха экспортных компаний региона, получивших сертификат соответствия в рамках Системы добровольной сертификации «Сделано в России», конкурса «Экспортер года» (региональный, окружной и федеральный этапы), информационных и обучающих мероприятий об экспорте (вебинары, мастер-классы, бизнес-игры и пр.), с ежегодным приростом публикаций</w:t>
      </w:r>
      <w:r>
        <w:rPr>
          <w:rStyle w:val="FootnoteReference"/>
          <w:color w:val="auto"/>
          <w:highlight w:val="white"/>
        </w:rPr>
        <w:footnoteReference w:id="16"/>
      </w:r>
      <w:r>
        <w:rPr>
          <w:color w:val="auto"/>
          <w:highlight w:val="white"/>
        </w:rPr>
        <w:t xml:space="preserve">. </w:t>
      </w:r>
    </w:p>
    <w:p>
      <w:pPr>
        <w:pStyle w:val="14"/>
        <w:shd w:val="clear" w:color="auto" w:fill="auto"/>
        <w:rPr>
          <w:color w:val="auto"/>
          <w:highlight w:val="white"/>
        </w:rPr>
      </w:pPr>
      <w:r>
        <w:rPr>
          <w:color w:val="auto"/>
          <w:highlight w:val="white"/>
        </w:rPr>
        <w:t>5.</w:t>
        <w:tab/>
        <w:t>Субъекту рекомендовано продвигать экспортную деятельность по каналам электронной торговли на зарубежных и международных электронных торговых площадках, в том числе в национальных магазинах на крупнейших электронных площадках и других специальных проектах, а также информировать Организации о цифровых сервисах по электронной торговле.</w:t>
      </w:r>
    </w:p>
    <w:p>
      <w:pPr>
        <w:pStyle w:val="14"/>
        <w:shd w:val="clear" w:color="auto" w:fill="auto"/>
        <w:rPr>
          <w:color w:val="auto"/>
        </w:rPr>
      </w:pPr>
      <w:r>
        <w:rPr>
          <w:color w:val="auto"/>
          <w:highlight w:val="white"/>
        </w:rPr>
        <w:t>6.</w:t>
        <w:tab/>
      </w:r>
      <w:r>
        <w:rPr>
          <w:color w:val="auto"/>
        </w:rPr>
        <w:t xml:space="preserve">Субъекту рекомендуется осуществлять популяризацию экспортной деятельности среди </w:t>
      </w:r>
      <w:r>
        <w:rPr>
          <w:color w:val="auto"/>
          <w:highlight w:val="white"/>
        </w:rPr>
        <w:t>экономически активного населения и молодежи</w:t>
      </w:r>
      <w:r>
        <w:rPr>
          <w:color w:val="auto"/>
        </w:rPr>
        <w:t xml:space="preserve"> путем организации форумов, конференций, круглых столов, конкурсов идей и проектов и других мероприятий по вопросам экспортной деятельности. Для увеличения интереса молодежи к экспорту Субъекту рекомендуется содействовать созданию интерактивных форматов взаимодействия с аудиторией (квесты, игры, мобильные приложения и пр.), в которых пользователи имеют возможность познакомиться с экспортной деятельностью, смоделировать и пройти через весь цикл экспортной деятельности: от поиска идеи до выхода на международный рынок.</w:t>
      </w:r>
    </w:p>
    <w:p>
      <w:pPr>
        <w:pStyle w:val="14"/>
        <w:shd w:val="clear" w:color="auto" w:fill="auto"/>
        <w:rPr>
          <w:color w:val="auto"/>
          <w:highlight w:val="white"/>
        </w:rPr>
      </w:pPr>
      <w:r>
        <w:rPr>
          <w:color w:val="auto"/>
        </w:rPr>
        <w:t>7.</w:t>
        <w:tab/>
      </w:r>
      <w:r>
        <w:rPr>
          <w:color w:val="auto"/>
          <w:highlight w:val="white"/>
        </w:rPr>
        <w:t>Рекомендуется во взаимодействии с РЭЦ проводить не менее 1 (одного) мероприятия в год по информированию Организаций о работе в ИС «Одно окно» в формате отдельного семинара, круглого стола либо как часть проводимого в Субъекте форума или конференции в очной либо дистанционной (в режиме конференции) форме присутствия участников.</w:t>
      </w:r>
    </w:p>
    <w:p>
      <w:pPr>
        <w:pStyle w:val="14"/>
        <w:shd w:val="clear" w:color="auto" w:fill="auto"/>
        <w:rPr>
          <w:strike/>
          <w:color w:val="auto"/>
          <w:highlight w:val="white"/>
        </w:rPr>
      </w:pPr>
      <w:r>
        <w:rPr>
          <w:color w:val="auto"/>
          <w:highlight w:val="white"/>
        </w:rPr>
        <w:t>В рамках мероприятия целесообразно освещать ключевые процессы работы в ИС «Одно окно», в том числе процесс регистрации и заказа услуг, состав Единого каталога услуг, содержание отдельных категорий оцифрованных нефинансовых, финансовых, партнерских услуг, а также иные доступные государственные сервисы.</w:t>
      </w:r>
    </w:p>
    <w:p>
      <w:pPr>
        <w:pStyle w:val="14"/>
        <w:shd w:val="clear" w:color="auto" w:fill="auto"/>
        <w:spacing w:before="0" w:after="102"/>
        <w:rPr>
          <w:color w:val="auto"/>
          <w:highlight w:val="white"/>
        </w:rPr>
      </w:pPr>
      <w:r>
        <w:rPr>
          <w:color w:val="auto"/>
          <w:highlight w:val="white"/>
        </w:rPr>
        <w:t>8.</w:t>
        <w:tab/>
        <w:t>Кроме того, рекомендовано продвигать информацию в средствах массовой информации о возможностях и перспективах для молодежи (студентов и школьников) в сфере внешнеэкономической деятельности и экспорта:</w:t>
      </w:r>
    </w:p>
    <w:p>
      <w:pPr>
        <w:pStyle w:val="14"/>
        <w:numPr>
          <w:ilvl w:val="0"/>
          <w:numId w:val="53"/>
        </w:numPr>
        <w:shd w:val="clear" w:color="auto" w:fill="auto"/>
        <w:spacing w:before="0" w:after="0"/>
        <w:ind w:hanging="283" w:left="283"/>
        <w:rPr>
          <w:color w:val="auto"/>
          <w:highlight w:val="white"/>
        </w:rPr>
      </w:pPr>
      <w:r>
        <w:rPr>
          <w:color w:val="auto"/>
          <w:highlight w:val="white"/>
        </w:rPr>
        <w:t>по обучению и реализуемым образовательным программам на базе вузов</w:t>
      </w:r>
      <w:r>
        <w:rPr>
          <w:color w:val="000000"/>
          <w:highlight w:val="white"/>
          <w:shd w:fill="FFFFFF" w:val="clear"/>
        </w:rPr>
        <w:t xml:space="preserve"> </w:t>
      </w:r>
      <w:r>
        <w:rPr>
          <w:color w:val="auto"/>
          <w:highlight w:val="white"/>
        </w:rPr>
        <w:t>(мировая экономика, мировое право, международные финансы, организация внешнеэкономической деятельности и другие направления, связанные с международной экономической деятельностью);</w:t>
      </w:r>
    </w:p>
    <w:p>
      <w:pPr>
        <w:pStyle w:val="14"/>
        <w:numPr>
          <w:ilvl w:val="0"/>
          <w:numId w:val="53"/>
        </w:numPr>
        <w:shd w:val="clear" w:color="auto" w:fill="auto"/>
        <w:spacing w:before="0" w:after="0"/>
        <w:ind w:hanging="283" w:left="283"/>
        <w:rPr>
          <w:color w:val="auto"/>
          <w:highlight w:val="white"/>
        </w:rPr>
      </w:pPr>
      <w:r>
        <w:rPr>
          <w:color w:val="auto"/>
          <w:highlight w:val="white"/>
        </w:rPr>
        <w:t>по практикам и стажировкам в региональных экспортирующих предприятиях;</w:t>
      </w:r>
    </w:p>
    <w:p>
      <w:pPr>
        <w:pStyle w:val="14"/>
        <w:numPr>
          <w:ilvl w:val="0"/>
          <w:numId w:val="53"/>
        </w:numPr>
        <w:shd w:val="clear" w:color="auto" w:fill="auto"/>
        <w:spacing w:before="0" w:after="102"/>
        <w:ind w:hanging="283" w:left="283"/>
        <w:rPr>
          <w:color w:val="auto"/>
          <w:highlight w:val="white"/>
        </w:rPr>
      </w:pPr>
      <w:r>
        <w:rPr>
          <w:color w:val="auto"/>
          <w:highlight w:val="white"/>
        </w:rPr>
        <w:t>по перспективам трудоустройства в сфере ВЭД в регионе, а также историях успеха молодежи.</w:t>
      </w:r>
    </w:p>
    <w:p>
      <w:pPr>
        <w:pStyle w:val="14"/>
        <w:shd w:val="clear" w:color="auto" w:fill="auto"/>
        <w:rPr>
          <w:color w:val="auto"/>
        </w:rPr>
      </w:pPr>
      <w:r>
        <w:rPr>
          <w:color w:val="auto"/>
          <w:highlight w:val="white"/>
        </w:rPr>
        <w:t>9.</w:t>
        <w:tab/>
        <w:t>Рекомендуется регулярное проведение мероприятий, нацеленных на популяризацию среди школьников старших классов и студентов высших учебных заведений внешнеэкономической деятельности как перспективного направления для профессионального развития, а также на трансляцию позитивного образа будущей профессии в сфере ВЭД и разъяснения её преимуществ.</w:t>
      </w:r>
    </w:p>
    <w:p>
      <w:pPr>
        <w:pStyle w:val="14"/>
        <w:shd w:val="clear" w:color="auto" w:fill="auto"/>
        <w:rPr>
          <w:strike/>
          <w:color w:val="auto"/>
          <w:highlight w:val="white"/>
        </w:rPr>
      </w:pPr>
      <w:r>
        <w:rPr>
          <w:color w:val="auto"/>
          <w:highlight w:val="white"/>
        </w:rPr>
        <w:t>10.</w:t>
        <w:tab/>
        <w:t>В Субъекте рекомендуется определить специалиста, ответственного за популяризацию экспортной деятельности среди экономически активного населения и молодежи, за продвижение в СМИ и социальных сетях информации о мерах поддержки экспортеров, программах обучения экспортной деятельности, национальном проекте «Международная кооперация и экспорт», ИС «Одно окно», об историях успеха экспортных Организаций региона, в том числе получивших сертификат соответствия в рамках Системы добровольной сертификации «Сделано в России», о конкурсе «Экспортер года», информационных и обучающих мероприятиях (вебинары, мастер-классы, бизнес-игры и пр.).</w:t>
      </w:r>
    </w:p>
    <w:p>
      <w:pPr>
        <w:pStyle w:val="14"/>
        <w:shd w:val="clear" w:color="auto" w:fill="auto"/>
        <w:spacing w:before="0" w:after="120"/>
        <w:rPr>
          <w:color w:val="auto"/>
          <w:highlight w:val="white"/>
        </w:rPr>
      </w:pPr>
      <w:r>
        <w:rPr>
          <w:color w:val="auto"/>
          <w:highlight w:val="white"/>
        </w:rPr>
        <w:t>11.</w:t>
        <w:tab/>
        <w:t>Также в целях стимулирования Организаций, зарегистрированных на территории Субъекта, рекомендовано проводить конкурс «Экспортер года» на ежегодной основе для отбора лучших экспортных проектов, соответствующих стратегическим планам Субъекта в части развития экспортной деятельности, в том числе с учетом отраслевых и географических ориентиров.</w:t>
      </w:r>
    </w:p>
    <w:p>
      <w:pPr>
        <w:pStyle w:val="14"/>
        <w:shd w:val="clear" w:color="auto" w:fill="auto"/>
        <w:spacing w:before="0" w:after="0"/>
        <w:rPr>
          <w:color w:val="auto"/>
          <w:highlight w:val="white"/>
        </w:rPr>
      </w:pPr>
      <w:r>
        <w:rPr>
          <w:color w:val="auto"/>
          <w:highlight w:val="white"/>
        </w:rPr>
        <w:t>Рекомендуется использовать методологию и перечень номинаций, разработанных РЭЦ для проведения окружного и федерального конкурса «Экспортер года».</w:t>
      </w:r>
    </w:p>
    <w:p>
      <w:pPr>
        <w:pStyle w:val="14"/>
        <w:shd w:val="clear" w:color="auto" w:fill="auto"/>
        <w:rPr>
          <w:color w:val="auto"/>
          <w:highlight w:val="white"/>
        </w:rPr>
      </w:pPr>
      <w:r>
        <w:rPr>
          <w:color w:val="auto"/>
          <w:highlight w:val="white"/>
        </w:rPr>
        <w:t>Субъекту рекомендовано предусмотреть возможность поощрения победителей номинаций регионального этапа конкурса «Экспортер года» в виде предоставления особых или приоритетных условий пользования финансовыми либо нефинансовыми мерами поддержки экспорта или других наград, стимулирующих развитие экспортной деятельности.</w:t>
      </w:r>
    </w:p>
    <w:p>
      <w:pPr>
        <w:pStyle w:val="14"/>
        <w:shd w:val="clear" w:color="auto" w:fill="auto"/>
        <w:rPr>
          <w:color w:val="auto"/>
          <w:highlight w:val="white"/>
        </w:rPr>
      </w:pPr>
      <w:r>
        <w:rPr>
          <w:color w:val="auto"/>
          <w:highlight w:val="white"/>
        </w:rPr>
        <w:t>Подведение итогов конкурса «Экспортер года» и награждение победителей рекомендуется проводить в рамках организованных на территории Субъекта публичных мероприятиях, в том числе с участием школьников старших классов и студентов профильных направлений подготовки вузов.</w:t>
      </w:r>
    </w:p>
    <w:p>
      <w:pPr>
        <w:pStyle w:val="14"/>
        <w:shd w:val="clear" w:color="auto" w:fill="auto"/>
        <w:rPr>
          <w:color w:val="auto"/>
          <w:highlight w:val="white"/>
        </w:rPr>
      </w:pPr>
      <w:r>
        <w:rPr>
          <w:color w:val="auto"/>
          <w:highlight w:val="white"/>
        </w:rPr>
        <w:t>Субъекту рекомендуется проводить региональный этап конкурса в срок до 1 июня года, следующего за отчетным, в целях интеграции регионального этапа конкурса с окружным и федеральным; также по итогам регионального этапа субъекту необходимо направить победителей конкурса «Экспортер года» для участия в конкуре «Экспортер федерального округа».</w:t>
      </w:r>
    </w:p>
    <w:p>
      <w:pPr>
        <w:pStyle w:val="14"/>
        <w:shd w:val="clear" w:color="auto" w:fill="auto"/>
        <w:rPr>
          <w:color w:val="auto"/>
          <w:highlight w:val="white"/>
        </w:rPr>
      </w:pPr>
      <w:r>
        <w:rPr>
          <w:color w:val="auto"/>
          <w:highlight w:val="white"/>
        </w:rPr>
        <w:t>При формирующемся экспортном потенциале и нецелесообразности проведения регионального этапа конкурса «Экспортер года» Субъекту рекомендовано обеспечить включение в конкурсную документацию проводимого в регионе иного конкурса для предпринимателей отдельной номинации в сфере экспортной деятельности, предусмотрев при этом ценные призы и награды, стимулирующие развитие экспортной деятельности на территории Субъекта.</w:t>
      </w:r>
    </w:p>
    <w:p>
      <w:pPr>
        <w:pStyle w:val="14"/>
        <w:shd w:val="clear" w:color="auto" w:fill="auto"/>
        <w:spacing w:before="0" w:after="102"/>
        <w:rPr>
          <w:color w:val="auto"/>
          <w:highlight w:val="white"/>
        </w:rPr>
      </w:pPr>
      <w:r>
        <w:rPr>
          <w:color w:val="auto"/>
          <w:highlight w:val="white"/>
        </w:rPr>
        <w:t>12.</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12.1.</w:t>
        <w:tab/>
        <w:t>Уровень 1:</w:t>
      </w:r>
    </w:p>
    <w:p>
      <w:pPr>
        <w:pStyle w:val="14"/>
        <w:numPr>
          <w:ilvl w:val="0"/>
          <w:numId w:val="101"/>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4"/>
        </w:numPr>
        <w:shd w:val="clear" w:color="auto" w:fill="auto"/>
        <w:spacing w:before="0" w:after="0"/>
        <w:ind w:hanging="425" w:left="425"/>
        <w:rPr>
          <w:color w:val="auto"/>
          <w:highlight w:val="white"/>
        </w:rPr>
      </w:pPr>
      <w:r>
        <w:rPr>
          <w:color w:val="auto"/>
          <w:highlight w:val="white"/>
        </w:rPr>
        <w:t>в Субъекте проведено не менее одного мероприятия по популяризации экспорта среди экономически активного населения и молодежи Субъекта (п. 6 настоящего Инструмента);</w:t>
      </w:r>
    </w:p>
    <w:p>
      <w:pPr>
        <w:pStyle w:val="14"/>
        <w:numPr>
          <w:ilvl w:val="0"/>
          <w:numId w:val="44"/>
        </w:numPr>
        <w:shd w:val="clear" w:color="auto" w:fill="auto"/>
        <w:spacing w:before="0" w:after="0"/>
        <w:ind w:hanging="425" w:left="425"/>
        <w:rPr>
          <w:color w:val="auto"/>
          <w:highlight w:val="white"/>
        </w:rPr>
      </w:pPr>
      <w:r>
        <w:rPr>
          <w:color w:val="auto"/>
          <w:highlight w:val="white"/>
        </w:rPr>
        <w:t>в Субъекте проведено не менее одного мероприятия по информированию Организаций о работе в ИС «Одно окно» (п. 7 настоящего Инструмента)</w:t>
      </w:r>
      <w:r>
        <w:rPr>
          <w:color w:val="auto"/>
        </w:rPr>
        <w:t>;</w:t>
      </w:r>
    </w:p>
    <w:p>
      <w:pPr>
        <w:pStyle w:val="14"/>
        <w:numPr>
          <w:ilvl w:val="0"/>
          <w:numId w:val="44"/>
        </w:numPr>
        <w:shd w:val="clear" w:color="auto" w:fill="auto"/>
        <w:spacing w:before="0" w:after="0"/>
        <w:ind w:hanging="425" w:left="425"/>
        <w:rPr>
          <w:color w:val="auto"/>
          <w:highlight w:val="white"/>
        </w:rPr>
      </w:pPr>
      <w:r>
        <w:rPr>
          <w:color w:val="auto"/>
          <w:highlight w:val="white"/>
        </w:rPr>
        <w:t>создан специализированный раздел на интернет-ресурсе, посвященном развитию экономики и/или ВЭД Субъекта;</w:t>
      </w:r>
    </w:p>
    <w:p>
      <w:pPr>
        <w:pStyle w:val="14"/>
        <w:numPr>
          <w:ilvl w:val="0"/>
          <w:numId w:val="44"/>
        </w:numPr>
        <w:shd w:val="clear" w:color="auto" w:fill="auto"/>
        <w:spacing w:before="0" w:after="0"/>
        <w:ind w:hanging="425" w:left="425"/>
        <w:rPr>
          <w:color w:val="auto"/>
          <w:highlight w:val="white"/>
        </w:rPr>
      </w:pPr>
      <w:r>
        <w:rPr>
          <w:color w:val="auto"/>
          <w:highlight w:val="white"/>
        </w:rPr>
        <w:t>созданы и продвигаются аккаунты, направленные на развитие экспорта региона, в социальных сетях и мессенджерах;</w:t>
      </w:r>
    </w:p>
    <w:p>
      <w:pPr>
        <w:pStyle w:val="14"/>
        <w:numPr>
          <w:ilvl w:val="0"/>
          <w:numId w:val="44"/>
        </w:numPr>
        <w:shd w:val="clear" w:color="auto" w:fill="auto"/>
        <w:spacing w:before="0" w:after="102"/>
        <w:ind w:hanging="425" w:left="425"/>
        <w:rPr>
          <w:color w:val="auto"/>
          <w:highlight w:val="white"/>
        </w:rPr>
      </w:pPr>
      <w:r>
        <w:rPr>
          <w:color w:val="auto"/>
          <w:highlight w:val="white"/>
        </w:rPr>
        <w:t>проводится конкурс «Экспортер года» в соответствии с указанными выше рекомендациями или в Субъекте с формирующимся экспортным потенциалом в рамках иного регионального конкурса для предпринимателей предусмотрена номинация в сфере экспортной деятельности.</w:t>
      </w:r>
    </w:p>
    <w:p>
      <w:pPr>
        <w:pStyle w:val="14"/>
        <w:shd w:val="clear" w:color="auto" w:fill="auto"/>
        <w:spacing w:before="0" w:after="120"/>
        <w:rPr>
          <w:color w:val="auto"/>
          <w:highlight w:val="white"/>
        </w:rPr>
      </w:pPr>
      <w:r>
        <w:rPr>
          <w:color w:val="auto"/>
          <w:highlight w:val="white"/>
        </w:rPr>
        <w:t>12.2.</w:t>
        <w:tab/>
        <w:t>Уровень 2:</w:t>
      </w:r>
    </w:p>
    <w:p>
      <w:pPr>
        <w:pStyle w:val="14"/>
        <w:numPr>
          <w:ilvl w:val="0"/>
          <w:numId w:val="45"/>
        </w:numPr>
        <w:shd w:val="clear" w:color="auto" w:fill="auto"/>
        <w:spacing w:before="0" w:after="0"/>
        <w:ind w:hanging="425" w:left="425"/>
        <w:rPr>
          <w:color w:val="auto"/>
          <w:highlight w:val="white"/>
        </w:rPr>
      </w:pPr>
      <w:r>
        <w:rPr>
          <w:color w:val="auto"/>
          <w:highlight w:val="white"/>
        </w:rPr>
        <w:t>проведено не менее одного мероприятия, нацеленного на популяризацию внешнеэкономической деятельности среди школьников старших классов и студентов высших учебных заведений (п. 9 настоящего Инструмента);</w:t>
      </w:r>
    </w:p>
    <w:p>
      <w:pPr>
        <w:pStyle w:val="14"/>
        <w:numPr>
          <w:ilvl w:val="0"/>
          <w:numId w:val="45"/>
        </w:numPr>
        <w:shd w:val="clear" w:color="auto" w:fill="auto"/>
        <w:spacing w:before="0" w:after="102"/>
        <w:ind w:hanging="425" w:left="425"/>
        <w:rPr>
          <w:color w:val="auto"/>
          <w:highlight w:val="white"/>
        </w:rPr>
      </w:pPr>
      <w:r>
        <w:rPr>
          <w:color w:val="auto"/>
          <w:highlight w:val="white"/>
        </w:rPr>
        <w:t>прирост публикаций и размещений по экспортной тематике в СМИ Субъекта в отчетном году составил в совокупности не менее 10%.</w:t>
      </w:r>
    </w:p>
    <w:p>
      <w:pPr>
        <w:sectPr>
          <w:headerReference w:type="even" r:id="rId50"/>
          <w:headerReference w:type="default" r:id="rId51"/>
          <w:headerReference w:type="first" r:id="rId52"/>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t>12.3.</w:t>
        <w:tab/>
        <w:t xml:space="preserve">Уровень 3: прирост публикаций и размещений по экспортной тематике в СМИ Субъекта в отчетном году составил в совокупности не менее 20%. </w:t>
      </w:r>
    </w:p>
    <w:p>
      <w:pPr>
        <w:pStyle w:val="14"/>
        <w:shd w:val="clear" w:color="auto" w:fill="auto"/>
        <w:tabs>
          <w:tab w:val="clear" w:pos="709"/>
          <w:tab w:val="left" w:pos="571" w:leader="none"/>
        </w:tabs>
        <w:rPr>
          <w:color w:val="auto"/>
          <w:highlight w:val="white"/>
        </w:rPr>
      </w:pPr>
      <w:r>
        <w:rPr>
          <w:b/>
          <w:bCs/>
          <w:color w:val="auto"/>
          <w:highlight w:val="white"/>
        </w:rPr>
        <w:t>Инструмент 14. Создание и развитие механизмов продвижения продукции региональных компаний за рубежом</w:t>
      </w:r>
    </w:p>
    <w:p>
      <w:pPr>
        <w:pStyle w:val="14"/>
        <w:shd w:val="clear" w:color="auto" w:fill="auto"/>
        <w:rPr>
          <w:color w:val="auto"/>
          <w:highlight w:val="white"/>
        </w:rPr>
      </w:pPr>
      <w:r>
        <w:rPr>
          <w:color w:val="auto"/>
          <w:highlight w:val="white"/>
        </w:rPr>
        <w:t>1.</w:t>
        <w:tab/>
        <w:t>В Субъекте необходимо провести комплекс мероприятий по созданию и развитию механизмов продвижения товаров Организаций, зарегистрированных на территории Субъекта, на зарубежных рынках.</w:t>
      </w:r>
    </w:p>
    <w:p>
      <w:pPr>
        <w:pStyle w:val="14"/>
        <w:shd w:val="clear" w:color="auto" w:fill="auto"/>
        <w:rPr>
          <w:color w:val="auto"/>
          <w:highlight w:val="white"/>
        </w:rPr>
      </w:pPr>
      <w:r>
        <w:rPr>
          <w:color w:val="auto"/>
          <w:highlight w:val="white"/>
        </w:rPr>
        <w:t>2.</w:t>
        <w:tab/>
        <w:t>Субъекту рекомендуется обеспечить регулярную презентацию региональных товаров за рубежом с участием:</w:t>
      </w:r>
    </w:p>
    <w:p>
      <w:pPr>
        <w:pStyle w:val="14"/>
        <w:numPr>
          <w:ilvl w:val="0"/>
          <w:numId w:val="134"/>
        </w:numPr>
        <w:shd w:val="clear" w:color="auto" w:fill="auto"/>
        <w:spacing w:before="0" w:after="0"/>
        <w:ind w:hanging="425" w:left="425"/>
        <w:rPr>
          <w:color w:val="auto"/>
          <w:highlight w:val="white"/>
        </w:rPr>
      </w:pPr>
      <w:r>
        <w:rPr>
          <w:color w:val="auto"/>
          <w:highlight w:val="white"/>
        </w:rPr>
        <w:t>торговых представителей Российской Федерации за рубежом, в том числе в рамках формата «Час с торгпредом»;</w:t>
      </w:r>
    </w:p>
    <w:p>
      <w:pPr>
        <w:pStyle w:val="14"/>
        <w:numPr>
          <w:ilvl w:val="0"/>
          <w:numId w:val="134"/>
        </w:numPr>
        <w:shd w:val="clear" w:color="auto" w:fill="auto"/>
        <w:spacing w:before="0" w:after="0"/>
        <w:ind w:hanging="425" w:left="425"/>
        <w:rPr>
          <w:color w:val="auto"/>
          <w:highlight w:val="white"/>
        </w:rPr>
      </w:pPr>
      <w:r>
        <w:rPr>
          <w:color w:val="auto"/>
          <w:highlight w:val="white"/>
        </w:rPr>
        <w:t>представителей Минсельхоза России за рубежом, в том числе в рамках формата «Региональный час с сельхозатташе для экспортно ориентированных компаний региона»;</w:t>
      </w:r>
    </w:p>
    <w:p>
      <w:pPr>
        <w:pStyle w:val="14"/>
        <w:numPr>
          <w:ilvl w:val="0"/>
          <w:numId w:val="134"/>
        </w:numPr>
        <w:shd w:val="clear" w:color="auto" w:fill="auto"/>
        <w:spacing w:before="0" w:after="0"/>
        <w:ind w:hanging="425" w:left="425"/>
        <w:rPr>
          <w:color w:val="auto"/>
          <w:highlight w:val="white"/>
        </w:rPr>
      </w:pPr>
      <w:r>
        <w:rPr>
          <w:color w:val="auto"/>
          <w:highlight w:val="white"/>
        </w:rPr>
        <w:t>представителей Минцифры России за рубежом, в том числе в рамках формата «Региональный час цифровым атташе»;</w:t>
      </w:r>
    </w:p>
    <w:p>
      <w:pPr>
        <w:pStyle w:val="14"/>
        <w:numPr>
          <w:ilvl w:val="0"/>
          <w:numId w:val="134"/>
        </w:numPr>
        <w:shd w:val="clear" w:color="auto" w:fill="auto"/>
        <w:spacing w:before="0" w:after="0"/>
        <w:ind w:hanging="425" w:left="425"/>
        <w:rPr>
          <w:color w:val="auto"/>
          <w:highlight w:val="white"/>
        </w:rPr>
      </w:pPr>
      <w:r>
        <w:rPr>
          <w:color w:val="auto"/>
          <w:highlight w:val="white"/>
        </w:rPr>
        <w:t>представительств за рубежом других федеральных органов России;</w:t>
      </w:r>
    </w:p>
    <w:p>
      <w:pPr>
        <w:pStyle w:val="14"/>
        <w:numPr>
          <w:ilvl w:val="0"/>
          <w:numId w:val="134"/>
        </w:numPr>
        <w:shd w:val="clear" w:color="auto" w:fill="auto"/>
        <w:spacing w:before="0" w:after="0"/>
        <w:ind w:hanging="425" w:left="425"/>
        <w:rPr>
          <w:color w:val="auto"/>
          <w:highlight w:val="white"/>
        </w:rPr>
      </w:pPr>
      <w:r>
        <w:rPr>
          <w:color w:val="auto"/>
          <w:highlight w:val="white"/>
        </w:rPr>
        <w:t>представителей РЭЦ за рубежом;</w:t>
      </w:r>
    </w:p>
    <w:p>
      <w:pPr>
        <w:pStyle w:val="14"/>
        <w:numPr>
          <w:ilvl w:val="0"/>
          <w:numId w:val="134"/>
        </w:numPr>
        <w:shd w:val="clear" w:color="auto" w:fill="auto"/>
        <w:spacing w:before="0" w:after="0"/>
        <w:ind w:hanging="425" w:left="425"/>
        <w:rPr>
          <w:color w:val="auto"/>
          <w:highlight w:val="white"/>
        </w:rPr>
      </w:pPr>
      <w:r>
        <w:rPr>
          <w:color w:val="auto"/>
          <w:highlight w:val="white"/>
        </w:rPr>
        <w:t>зарубежных представительств российских деловых объединений (РСПП, «ОПОРА РОССИИ», «Деловая Россия», Торгово-промышленная палата России);</w:t>
      </w:r>
    </w:p>
    <w:p>
      <w:pPr>
        <w:pStyle w:val="14"/>
        <w:numPr>
          <w:ilvl w:val="0"/>
          <w:numId w:val="134"/>
        </w:numPr>
        <w:shd w:val="clear" w:color="auto" w:fill="auto"/>
        <w:ind w:hanging="425" w:left="425"/>
        <w:rPr>
          <w:color w:val="auto"/>
          <w:highlight w:val="white"/>
        </w:rPr>
      </w:pPr>
      <w:r>
        <w:rPr>
          <w:color w:val="auto"/>
          <w:highlight w:val="white"/>
        </w:rPr>
        <w:t>представительств Субъекта за рубежом и иных форматов присутствия Субъекта в иностранных государствах.</w:t>
      </w:r>
    </w:p>
    <w:p>
      <w:pPr>
        <w:pStyle w:val="14"/>
        <w:shd w:val="clear" w:color="auto" w:fill="auto"/>
        <w:rPr>
          <w:color w:val="auto"/>
          <w:highlight w:val="white"/>
        </w:rPr>
      </w:pPr>
      <w:r>
        <w:rPr>
          <w:color w:val="auto"/>
          <w:highlight w:val="white"/>
        </w:rPr>
        <w:t>3.</w:t>
        <w:tab/>
        <w:t>Кроме того, в целях обеспечения знакомства с товарами Организаций Субъекта рекомендовано на постоянной основе обеспечить публикацию/трансляцию информации о региональных экспортерах, товарах в странах, определенных Стратегией ВЭД как приоритетные, посредством СМИ за рубежом и сети Интернет, в том числе рекомендовано предусмотреть средства бюджета Субъекта на компенсацию либо софинансирование затрат региональных Организаций на продвижение товаров в зарубежных СМИ или сети Интернет, или другие инструменты поддержки продвижения товаров региональных Организаций за рубежом.</w:t>
      </w:r>
    </w:p>
    <w:p>
      <w:pPr>
        <w:pStyle w:val="14"/>
        <w:shd w:val="clear" w:color="auto" w:fill="auto"/>
        <w:rPr>
          <w:color w:val="auto"/>
          <w:highlight w:val="white"/>
        </w:rPr>
      </w:pPr>
      <w:r>
        <w:rPr>
          <w:color w:val="auto"/>
          <w:highlight w:val="white"/>
        </w:rPr>
        <w:t>4.</w:t>
        <w:tab/>
        <w:t>Субъекту рекомендовано проводить не менее одного мероприятия в отчетном году, направленного на популяризацию программы развития и продвижения российской продукции за рубежом под национальным брендом «Сделано в России» и вовлекать региональные Организации для участия в этой программе.</w:t>
      </w:r>
    </w:p>
    <w:p>
      <w:pPr>
        <w:pStyle w:val="14"/>
        <w:shd w:val="clear" w:color="auto" w:fill="auto"/>
        <w:rPr>
          <w:color w:val="auto"/>
          <w:highlight w:val="white"/>
        </w:rPr>
      </w:pPr>
      <w:r>
        <w:rPr>
          <w:color w:val="auto"/>
          <w:highlight w:val="white"/>
        </w:rPr>
        <w:t>5.</w:t>
        <w:tab/>
        <w:t>Субъекту рекомендуется ежегодно содействовать участию Организаций в программе развития и продвижения российской продукции за рубежом под национальным брендом «Сделано в России»</w:t>
      </w:r>
      <w:r>
        <w:rPr>
          <w:rStyle w:val="FootnoteReference"/>
          <w:color w:val="auto"/>
          <w:sz w:val="20"/>
          <w:szCs w:val="20"/>
          <w:highlight w:val="white"/>
          <w:vertAlign w:val="superscript"/>
        </w:rPr>
        <w:footnoteReference w:id="17"/>
      </w:r>
      <w:r>
        <w:rPr>
          <w:color w:val="auto"/>
          <w:highlight w:val="white"/>
        </w:rPr>
        <w:t>.</w:t>
      </w:r>
    </w:p>
    <w:p>
      <w:pPr>
        <w:pStyle w:val="14"/>
        <w:shd w:val="clear" w:color="auto" w:fill="auto"/>
        <w:spacing w:before="0" w:after="102"/>
        <w:rPr>
          <w:color w:val="auto"/>
          <w:highlight w:val="white"/>
        </w:rPr>
      </w:pPr>
      <w:r>
        <w:rPr>
          <w:color w:val="auto"/>
          <w:highlight w:val="white"/>
        </w:rPr>
        <w:t>6.</w:t>
        <w:tab/>
        <w:t>Субъекту рекомендовано ежегодно формировать план продвижения продукции региональных компаний за рубежом (далее – План продвижения), включить в том числе следующие показатели с ненулевыми значениями:</w:t>
      </w:r>
    </w:p>
    <w:p>
      <w:pPr>
        <w:pStyle w:val="14"/>
        <w:numPr>
          <w:ilvl w:val="0"/>
          <w:numId w:val="107"/>
        </w:numPr>
        <w:shd w:val="clear" w:color="auto" w:fill="auto"/>
        <w:spacing w:before="0" w:after="0"/>
        <w:ind w:hanging="425" w:left="425"/>
        <w:rPr>
          <w:color w:val="auto"/>
          <w:highlight w:val="white"/>
        </w:rPr>
      </w:pPr>
      <w:r>
        <w:rPr>
          <w:color w:val="auto"/>
          <w:highlight w:val="white"/>
        </w:rPr>
        <w:t>количество мероприятий, направленных на презентацию региональных товаров за рубежом с участием представителей за рубежом торговых представительств Российской Федерации, РЭЦ, Минсельхоза России, Минцифры России, других федеральных органов России, российских деловых объединений (РСПП, «ОПОРА РОССИИ», «Деловая Россия», Торгово-промышленная палата России), Субъекта (ед.) (п. 2 настоящего Инструмента);</w:t>
      </w:r>
    </w:p>
    <w:p>
      <w:pPr>
        <w:pStyle w:val="14"/>
        <w:numPr>
          <w:ilvl w:val="0"/>
          <w:numId w:val="106"/>
        </w:numPr>
        <w:shd w:val="clear" w:color="auto" w:fill="auto"/>
        <w:spacing w:before="0" w:after="0"/>
        <w:ind w:hanging="425" w:left="425"/>
        <w:rPr>
          <w:color w:val="auto"/>
          <w:highlight w:val="white"/>
        </w:rPr>
      </w:pPr>
      <w:r>
        <w:rPr>
          <w:color w:val="auto"/>
          <w:highlight w:val="white"/>
        </w:rPr>
        <w:t>количество мероприятий, направленных на популяризацию программы развития и продвижения российской продукции за рубежом под национальным брендом «Сделано в России» (ед.) (п. 4 настоящего Инструмента);</w:t>
      </w:r>
    </w:p>
    <w:p>
      <w:pPr>
        <w:pStyle w:val="14"/>
        <w:numPr>
          <w:ilvl w:val="0"/>
          <w:numId w:val="106"/>
        </w:numPr>
        <w:shd w:val="clear" w:color="auto" w:fill="auto"/>
        <w:ind w:hanging="425" w:left="425"/>
        <w:rPr>
          <w:color w:val="auto"/>
          <w:highlight w:val="white"/>
        </w:rPr>
      </w:pPr>
      <w:r>
        <w:rPr>
          <w:color w:val="auto"/>
          <w:highlight w:val="white"/>
        </w:rPr>
        <w:t>количество уникальных Организаций, зарегистрированных в Субъекте, принявших участие в программе развития и продвижения российской продукции за рубежом под национальным брендом «Сделано в России» при содействии Субъекта (ед.) (п. 5 настоящего Инструмента).</w:t>
      </w:r>
    </w:p>
    <w:p>
      <w:pPr>
        <w:pStyle w:val="14"/>
        <w:shd w:val="clear" w:color="auto" w:fill="auto"/>
        <w:rPr>
          <w:color w:val="auto"/>
        </w:rPr>
      </w:pPr>
      <w:r>
        <w:rPr>
          <w:color w:val="auto"/>
        </w:rPr>
        <w:t>7.</w:t>
        <w:tab/>
      </w:r>
      <w:r>
        <w:rPr>
          <w:color w:val="auto"/>
          <w:highlight w:val="white"/>
        </w:rPr>
        <w:t>План продвижения</w:t>
      </w:r>
      <w:r>
        <w:rPr>
          <w:color w:val="auto"/>
        </w:rPr>
        <w:t xml:space="preserve"> может быть разработан в одной из следующих форм по усмотрению Субъекта:</w:t>
      </w:r>
    </w:p>
    <w:p>
      <w:pPr>
        <w:pStyle w:val="14"/>
        <w:numPr>
          <w:ilvl w:val="0"/>
          <w:numId w:val="135"/>
        </w:numPr>
        <w:shd w:val="clear" w:color="auto" w:fill="auto"/>
        <w:spacing w:before="0" w:after="0"/>
        <w:ind w:hanging="425" w:left="425"/>
        <w:rPr>
          <w:color w:val="auto"/>
        </w:rPr>
      </w:pPr>
      <w:r>
        <w:rPr>
          <w:color w:val="auto"/>
        </w:rPr>
        <w:t>как раздел Региональной программы Субъекта либо её приложения;</w:t>
      </w:r>
    </w:p>
    <w:p>
      <w:pPr>
        <w:pStyle w:val="14"/>
        <w:numPr>
          <w:ilvl w:val="0"/>
          <w:numId w:val="135"/>
        </w:numPr>
        <w:shd w:val="clear" w:color="auto" w:fill="auto"/>
        <w:spacing w:before="0" w:after="0"/>
        <w:ind w:hanging="425" w:left="425"/>
        <w:rPr>
          <w:color w:val="auto"/>
        </w:rPr>
      </w:pPr>
      <w:r>
        <w:rPr>
          <w:color w:val="auto"/>
        </w:rPr>
        <w:t>как отдельное приложение к Региональной программе;</w:t>
      </w:r>
    </w:p>
    <w:p>
      <w:pPr>
        <w:pStyle w:val="14"/>
        <w:numPr>
          <w:ilvl w:val="0"/>
          <w:numId w:val="135"/>
        </w:numPr>
        <w:shd w:val="clear" w:color="auto" w:fill="auto"/>
        <w:ind w:hanging="425" w:left="425"/>
        <w:rPr>
          <w:color w:val="auto"/>
        </w:rPr>
      </w:pPr>
      <w:r>
        <w:rPr>
          <w:color w:val="auto"/>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14"/>
        <w:shd w:val="clear" w:color="auto" w:fill="auto"/>
        <w:rPr>
          <w:color w:val="auto"/>
          <w:highlight w:val="white"/>
        </w:rPr>
      </w:pPr>
      <w:r>
        <w:rPr>
          <w:color w:val="auto"/>
          <w:highlight w:val="white"/>
        </w:rPr>
        <w:t>8.</w:t>
        <w:tab/>
        <w:t>При наличии в Субъекте региональной системы добровольной сертификации, основанной на региональном зонтичном бренде, Субъекту рекомендуется организовать взаимодействие владельца региональной системы с РЭЦ для развития Системы добровольной сертификации «Сделано в России» в Субъекте.</w:t>
      </w:r>
    </w:p>
    <w:p>
      <w:pPr>
        <w:pStyle w:val="14"/>
        <w:shd w:val="clear" w:color="auto" w:fill="auto"/>
        <w:rPr>
          <w:color w:val="auto"/>
          <w:highlight w:val="white"/>
        </w:rPr>
      </w:pPr>
      <w:r>
        <w:rPr>
          <w:color w:val="auto"/>
          <w:highlight w:val="white"/>
        </w:rPr>
        <w:t>9.</w:t>
        <w:tab/>
        <w:t>Субъекту предлагается предусмотреть инструмент продвижения за рубежом отраслевых, территориальных и других существующих или вновь создаваемых зонтичных брендов.</w:t>
      </w:r>
    </w:p>
    <w:p>
      <w:pPr>
        <w:pStyle w:val="14"/>
        <w:shd w:val="clear" w:color="auto" w:fill="auto"/>
        <w:rPr>
          <w:color w:val="auto"/>
        </w:rPr>
      </w:pPr>
      <w:r>
        <w:rPr>
          <w:color w:val="auto"/>
          <w:highlight w:val="white"/>
        </w:rPr>
        <w:t>10.</w:t>
        <w:tab/>
        <w:t>Субъекту рекомендовано оказывать содействие региональным Организациям во встраивании в производственные цепочки крупных международных компаний с целью продажи своих товаров за рубежом и их продвижения за счет мировых зонтичных брендов.</w:t>
      </w:r>
    </w:p>
    <w:p>
      <w:pPr>
        <w:pStyle w:val="Normal"/>
        <w:spacing w:before="0" w:after="102"/>
        <w:jc w:val="both"/>
        <w:rPr>
          <w:color w:val="auto"/>
        </w:rPr>
      </w:pPr>
      <w:r>
        <w:rPr>
          <w:rFonts w:cs="Times New Roman" w:ascii="Times New Roman" w:hAnsi="Times New Roman"/>
          <w:color w:val="auto"/>
          <w:highlight w:val="white"/>
        </w:rPr>
        <w:t>11.</w:t>
        <w:tab/>
        <w:t>Субъекту рекомендуется ежегодно до 20 декабря отчётного года формировать, утверждать и направлять в Систему отчёт об исполнении Плана подготовки кадров.</w:t>
      </w:r>
    </w:p>
    <w:p>
      <w:pPr>
        <w:pStyle w:val="Normal"/>
        <w:spacing w:before="0" w:after="102"/>
        <w:jc w:val="both"/>
        <w:rPr>
          <w:color w:val="auto"/>
        </w:rPr>
      </w:pPr>
      <w:r>
        <w:rPr>
          <w:rFonts w:cs="Times New Roman" w:ascii="Times New Roman" w:hAnsi="Times New Roman"/>
          <w:color w:val="auto"/>
          <w:highlight w:val="white"/>
        </w:rPr>
        <w:t>Форма утверждения отчёта определяется Субъектом самостоятельно из вариантов:</w:t>
      </w:r>
    </w:p>
    <w:p>
      <w:pPr>
        <w:pStyle w:val="ListParagraph"/>
        <w:numPr>
          <w:ilvl w:val="0"/>
          <w:numId w:val="136"/>
        </w:numPr>
        <w:ind w:hanging="425" w:left="425"/>
        <w:jc w:val="both"/>
        <w:rPr>
          <w:color w:val="auto"/>
        </w:rPr>
      </w:pPr>
      <w:r>
        <w:rPr>
          <w:rFonts w:cs="Times New Roman" w:ascii="Times New Roman" w:hAnsi="Times New Roman"/>
          <w:color w:val="auto"/>
          <w:highlight w:val="white"/>
        </w:rPr>
        <w:t>утвердительная надпись руководителя РОИВ-координатора либо профильного РОИВ, ответственного за реализацию настоящего Инструмента;</w:t>
      </w:r>
    </w:p>
    <w:p>
      <w:pPr>
        <w:pStyle w:val="ListParagraph"/>
        <w:numPr>
          <w:ilvl w:val="0"/>
          <w:numId w:val="136"/>
        </w:numPr>
        <w:ind w:hanging="425" w:left="425"/>
        <w:jc w:val="both"/>
        <w:rPr>
          <w:color w:val="auto"/>
        </w:rPr>
      </w:pPr>
      <w:r>
        <w:rPr>
          <w:rFonts w:cs="Times New Roman" w:ascii="Times New Roman" w:hAnsi="Times New Roman"/>
          <w:color w:val="auto"/>
          <w:highlight w:val="white"/>
        </w:rPr>
        <w:t>нормативно-правовой акт РОИВ-координатора либо профильного РОИВ, ответственного за реализацию настоящего Инструмента;</w:t>
      </w:r>
    </w:p>
    <w:p>
      <w:pPr>
        <w:pStyle w:val="ListParagraph"/>
        <w:numPr>
          <w:ilvl w:val="0"/>
          <w:numId w:val="136"/>
        </w:numPr>
        <w:spacing w:before="0" w:after="102"/>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rPr>
          <w:color w:val="auto"/>
          <w:highlight w:val="white"/>
        </w:rPr>
      </w:pPr>
      <w:r>
        <w:rPr>
          <w:color w:val="auto"/>
          <w:highlight w:val="white"/>
        </w:rPr>
        <w:t>12.</w:t>
        <w:tab/>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highlight w:val="white"/>
        </w:rPr>
        <w:t>12.1.</w:t>
        <w:tab/>
        <w:t>Уровень 1:</w:t>
      </w:r>
    </w:p>
    <w:p>
      <w:pPr>
        <w:pStyle w:val="14"/>
        <w:numPr>
          <w:ilvl w:val="0"/>
          <w:numId w:val="102"/>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6"/>
        </w:numPr>
        <w:shd w:val="clear" w:color="auto" w:fill="auto"/>
        <w:spacing w:before="0" w:after="0"/>
        <w:ind w:hanging="425" w:left="425"/>
        <w:rPr>
          <w:color w:val="auto"/>
          <w:highlight w:val="white"/>
        </w:rPr>
      </w:pPr>
      <w:r>
        <w:rPr>
          <w:color w:val="auto"/>
        </w:rPr>
        <w:t xml:space="preserve">в Субъекте разработан и утвержден </w:t>
      </w:r>
      <w:r>
        <w:rPr>
          <w:color w:val="auto"/>
          <w:highlight w:val="white"/>
        </w:rPr>
        <w:t>План продвижения на отчетный год;</w:t>
      </w:r>
    </w:p>
    <w:p>
      <w:pPr>
        <w:pStyle w:val="14"/>
        <w:numPr>
          <w:ilvl w:val="0"/>
          <w:numId w:val="46"/>
        </w:numPr>
        <w:shd w:val="clear" w:color="auto" w:fill="auto"/>
        <w:spacing w:before="0" w:after="0"/>
        <w:ind w:hanging="425" w:left="425"/>
        <w:rPr>
          <w:color w:val="auto"/>
          <w:highlight w:val="white"/>
        </w:rPr>
      </w:pPr>
      <w:r>
        <w:rPr>
          <w:color w:val="auto"/>
        </w:rPr>
        <w:t xml:space="preserve">отчёт об исполнении Плана </w:t>
      </w:r>
      <w:r>
        <w:rPr>
          <w:color w:val="auto"/>
          <w:highlight w:val="white"/>
        </w:rPr>
        <w:t>продвижения</w:t>
      </w:r>
      <w:r>
        <w:rPr>
          <w:color w:val="auto"/>
        </w:rPr>
        <w:t xml:space="preserve"> предоставлен в Систему (согласован экспертом РЭЦ) до 20 декабря отчетного года;</w:t>
      </w:r>
    </w:p>
    <w:p>
      <w:pPr>
        <w:pStyle w:val="14"/>
        <w:numPr>
          <w:ilvl w:val="0"/>
          <w:numId w:val="46"/>
        </w:numPr>
        <w:shd w:val="clear" w:color="auto" w:fill="auto"/>
        <w:spacing w:before="0" w:after="0"/>
        <w:ind w:hanging="425" w:left="425"/>
        <w:rPr>
          <w:color w:val="auto"/>
          <w:highlight w:val="white"/>
        </w:rPr>
      </w:pPr>
      <w:r>
        <w:rPr>
          <w:color w:val="auto"/>
          <w:highlight w:val="white"/>
        </w:rPr>
        <w:t>в отчетном году Субъектом проведено:</w:t>
      </w:r>
    </w:p>
    <w:p>
      <w:pPr>
        <w:pStyle w:val="14"/>
        <w:numPr>
          <w:ilvl w:val="0"/>
          <w:numId w:val="108"/>
        </w:numPr>
        <w:shd w:val="clear" w:color="auto" w:fill="auto"/>
        <w:spacing w:before="0" w:after="0"/>
        <w:rPr>
          <w:color w:val="auto"/>
          <w:highlight w:val="white"/>
        </w:rPr>
      </w:pPr>
      <w:r>
        <w:rPr>
          <w:color w:val="auto"/>
          <w:highlight w:val="white"/>
        </w:rPr>
        <w:t>не менее 1 (одного) мероприятия, направленного на презентацию региональных товаров за рубежом с участием представителей за рубежом торговых представительств Российской Федерации, РЭЦ, Минсельхоза России, Минцифры России, других федеральных органов России, российских деловых объединений (РСПП, «ОПОРА РОССИИ», «Деловая Россия», Торгово-промышленная палата России), Субъекта (ед.) (п. 2 настоящего Инструмента);</w:t>
      </w:r>
    </w:p>
    <w:p>
      <w:pPr>
        <w:pStyle w:val="14"/>
        <w:numPr>
          <w:ilvl w:val="0"/>
          <w:numId w:val="108"/>
        </w:numPr>
        <w:shd w:val="clear" w:color="auto" w:fill="auto"/>
        <w:spacing w:before="0" w:after="102"/>
        <w:rPr>
          <w:color w:val="auto"/>
        </w:rPr>
      </w:pPr>
      <w:r>
        <w:rPr>
          <w:color w:val="auto"/>
          <w:highlight w:val="white"/>
        </w:rPr>
        <w:t>не менее 1 (одного) мероприятия, направленного на популяризацию программы развития и продвижения российской продукции за рубежом под национальным брендом «Сделано в России» (ед.) (п. 4 настоящего Инструмента).</w:t>
      </w:r>
    </w:p>
    <w:p>
      <w:pPr>
        <w:pStyle w:val="14"/>
        <w:shd w:val="clear" w:color="auto" w:fill="auto"/>
        <w:spacing w:before="0" w:after="120"/>
        <w:rPr>
          <w:color w:val="auto"/>
          <w:highlight w:val="white"/>
        </w:rPr>
      </w:pPr>
      <w:r>
        <w:rPr>
          <w:color w:val="auto"/>
          <w:highlight w:val="white"/>
        </w:rPr>
        <w:t>12.2.</w:t>
        <w:tab/>
        <w:t xml:space="preserve">Уровень 2: </w:t>
      </w:r>
    </w:p>
    <w:p>
      <w:pPr>
        <w:pStyle w:val="14"/>
        <w:numPr>
          <w:ilvl w:val="0"/>
          <w:numId w:val="81"/>
        </w:numPr>
        <w:shd w:val="clear" w:color="auto" w:fill="auto"/>
        <w:ind w:hanging="425" w:left="425"/>
        <w:rPr>
          <w:color w:val="auto"/>
          <w:highlight w:val="white"/>
        </w:rPr>
      </w:pPr>
      <w:r>
        <w:rPr>
          <w:color w:val="auto"/>
          <w:highlight w:val="white"/>
        </w:rPr>
        <w:t>показатель «Количество уникальных Организаций, зарегистрированных в Субъекте, принявших участие в программе развития и продвижения российской продукции за рубежом под национальным брендом «Сделано в России» при содействии Субъекта» (п. 5 настоящего Инструмента), утвержденный на отчетный год, выполнен полностью до 20 декабря отчетного года и составляет не менее чем:</w:t>
      </w:r>
    </w:p>
    <w:p>
      <w:pPr>
        <w:pStyle w:val="14"/>
        <w:numPr>
          <w:ilvl w:val="0"/>
          <w:numId w:val="109"/>
        </w:numPr>
        <w:shd w:val="clear" w:color="auto" w:fill="auto"/>
        <w:spacing w:before="0" w:after="0"/>
        <w:rPr>
          <w:color w:val="auto"/>
          <w:highlight w:val="white"/>
        </w:rPr>
      </w:pPr>
      <w:r>
        <w:rPr>
          <w:color w:val="auto"/>
          <w:highlight w:val="white"/>
        </w:rPr>
        <w:t>1 ед. – для регионов, относящихся к 1-й группе;</w:t>
      </w:r>
    </w:p>
    <w:p>
      <w:pPr>
        <w:pStyle w:val="14"/>
        <w:numPr>
          <w:ilvl w:val="0"/>
          <w:numId w:val="109"/>
        </w:numPr>
        <w:shd w:val="clear" w:color="auto" w:fill="auto"/>
        <w:spacing w:before="0" w:after="0"/>
        <w:rPr>
          <w:color w:val="auto"/>
          <w:highlight w:val="white"/>
        </w:rPr>
      </w:pPr>
      <w:r>
        <w:rPr>
          <w:color w:val="auto"/>
          <w:highlight w:val="white"/>
        </w:rPr>
        <w:t>2 ед. – для регионов, относящихся к 2-й группе;</w:t>
      </w:r>
    </w:p>
    <w:p>
      <w:pPr>
        <w:pStyle w:val="14"/>
        <w:numPr>
          <w:ilvl w:val="0"/>
          <w:numId w:val="109"/>
        </w:numPr>
        <w:shd w:val="clear" w:color="auto" w:fill="auto"/>
        <w:spacing w:before="0" w:after="0"/>
        <w:rPr>
          <w:color w:val="auto"/>
          <w:highlight w:val="white"/>
        </w:rPr>
      </w:pPr>
      <w:r>
        <w:rPr>
          <w:color w:val="auto"/>
          <w:highlight w:val="white"/>
        </w:rPr>
        <w:t>3 ед.– для регионов, относящихся к 3-й группе;</w:t>
      </w:r>
    </w:p>
    <w:p>
      <w:pPr>
        <w:pStyle w:val="14"/>
        <w:numPr>
          <w:ilvl w:val="0"/>
          <w:numId w:val="109"/>
        </w:numPr>
        <w:shd w:val="clear" w:color="auto" w:fill="auto"/>
        <w:spacing w:before="0" w:after="0"/>
        <w:rPr>
          <w:color w:val="auto"/>
          <w:highlight w:val="white"/>
        </w:rPr>
      </w:pPr>
      <w:r>
        <w:rPr>
          <w:color w:val="auto"/>
          <w:highlight w:val="white"/>
        </w:rPr>
        <w:t xml:space="preserve">5 ед. – для регионов, относящихся к 4-й группе; </w:t>
      </w:r>
    </w:p>
    <w:p>
      <w:pPr>
        <w:pStyle w:val="14"/>
        <w:numPr>
          <w:ilvl w:val="0"/>
          <w:numId w:val="109"/>
        </w:numPr>
        <w:shd w:val="clear" w:color="auto" w:fill="auto"/>
        <w:spacing w:before="0" w:after="102"/>
        <w:rPr>
          <w:color w:val="auto"/>
          <w:highlight w:val="white"/>
        </w:rPr>
      </w:pPr>
      <w:r>
        <w:rPr>
          <w:color w:val="auto"/>
          <w:highlight w:val="white"/>
        </w:rPr>
        <w:t>10 ед. – для регионов, относящихся к 5-й группе.</w:t>
      </w:r>
    </w:p>
    <w:p>
      <w:pPr>
        <w:pStyle w:val="14"/>
        <w:shd w:val="clear" w:color="auto" w:fill="auto"/>
        <w:spacing w:before="0" w:after="120"/>
        <w:rPr>
          <w:color w:val="auto"/>
          <w:highlight w:val="white"/>
        </w:rPr>
      </w:pPr>
      <w:r>
        <w:rPr>
          <w:color w:val="auto"/>
          <w:highlight w:val="white"/>
        </w:rPr>
        <w:t>12.3.</w:t>
        <w:tab/>
        <w:t>Уровень 3:</w:t>
      </w:r>
    </w:p>
    <w:p>
      <w:pPr>
        <w:pStyle w:val="14"/>
        <w:numPr>
          <w:ilvl w:val="0"/>
          <w:numId w:val="110"/>
        </w:numPr>
        <w:shd w:val="clear" w:color="auto" w:fill="auto"/>
        <w:ind w:hanging="425" w:left="425"/>
        <w:rPr>
          <w:color w:val="auto"/>
          <w:highlight w:val="white"/>
        </w:rPr>
      </w:pPr>
      <w:r>
        <w:rPr>
          <w:color w:val="auto"/>
          <w:highlight w:val="white"/>
        </w:rPr>
        <w:t>показатель «Количество уникальных Организаций, зарегистрированных в Субъекте, принявших участие в программе развития и продвижения российской продукции за рубежом под национальным брендом «Сделано в России» при содействии Субъекта» (п. 5 настоящего Инструмента), утвержденный на отчетный год, выполнен полностью до 20 декабря отчетного года и составляет не менее чем:</w:t>
      </w:r>
    </w:p>
    <w:p>
      <w:pPr>
        <w:pStyle w:val="14"/>
        <w:numPr>
          <w:ilvl w:val="0"/>
          <w:numId w:val="111"/>
        </w:numPr>
        <w:shd w:val="clear" w:color="auto" w:fill="auto"/>
        <w:spacing w:before="0" w:after="0"/>
        <w:rPr>
          <w:color w:val="auto"/>
          <w:highlight w:val="white"/>
        </w:rPr>
      </w:pPr>
      <w:r>
        <w:rPr>
          <w:color w:val="auto"/>
          <w:highlight w:val="white"/>
        </w:rPr>
        <w:t>2 ед. – для регионов, относящихся к 1-й группе;</w:t>
      </w:r>
    </w:p>
    <w:p>
      <w:pPr>
        <w:pStyle w:val="14"/>
        <w:numPr>
          <w:ilvl w:val="0"/>
          <w:numId w:val="111"/>
        </w:numPr>
        <w:shd w:val="clear" w:color="auto" w:fill="auto"/>
        <w:spacing w:before="0" w:after="0"/>
        <w:rPr>
          <w:color w:val="auto"/>
          <w:highlight w:val="white"/>
        </w:rPr>
      </w:pPr>
      <w:r>
        <w:rPr>
          <w:color w:val="auto"/>
          <w:highlight w:val="white"/>
        </w:rPr>
        <w:t>4 ед. – для регионов, относящихся к 2-й группе;</w:t>
      </w:r>
    </w:p>
    <w:p>
      <w:pPr>
        <w:pStyle w:val="14"/>
        <w:numPr>
          <w:ilvl w:val="0"/>
          <w:numId w:val="111"/>
        </w:numPr>
        <w:shd w:val="clear" w:color="auto" w:fill="auto"/>
        <w:spacing w:before="0" w:after="0"/>
        <w:rPr>
          <w:color w:val="auto"/>
          <w:highlight w:val="white"/>
        </w:rPr>
      </w:pPr>
      <w:r>
        <w:rPr>
          <w:color w:val="auto"/>
          <w:highlight w:val="white"/>
        </w:rPr>
        <w:t>6 ед.– для регионов, относящихся к 3-й группе;</w:t>
      </w:r>
    </w:p>
    <w:p>
      <w:pPr>
        <w:pStyle w:val="14"/>
        <w:numPr>
          <w:ilvl w:val="0"/>
          <w:numId w:val="111"/>
        </w:numPr>
        <w:shd w:val="clear" w:color="auto" w:fill="auto"/>
        <w:spacing w:before="0" w:after="0"/>
        <w:rPr>
          <w:color w:val="auto"/>
          <w:highlight w:val="white"/>
        </w:rPr>
      </w:pPr>
      <w:r>
        <w:rPr>
          <w:color w:val="auto"/>
          <w:highlight w:val="white"/>
        </w:rPr>
        <w:t xml:space="preserve">10 ед. – для регионов, относящихся к 4-й группе; </w:t>
      </w:r>
    </w:p>
    <w:p>
      <w:pPr>
        <w:pStyle w:val="14"/>
        <w:numPr>
          <w:ilvl w:val="0"/>
          <w:numId w:val="111"/>
        </w:numPr>
        <w:shd w:val="clear" w:color="auto" w:fill="auto"/>
        <w:spacing w:before="0" w:after="102"/>
        <w:rPr>
          <w:color w:val="auto"/>
          <w:highlight w:val="white"/>
        </w:rPr>
      </w:pPr>
      <w:r>
        <w:rPr>
          <w:color w:val="auto"/>
          <w:highlight w:val="white"/>
        </w:rPr>
        <w:t>20 ед. – для регионов, относящихся к 5-й группе;</w:t>
      </w:r>
    </w:p>
    <w:p>
      <w:pPr>
        <w:pStyle w:val="14"/>
        <w:numPr>
          <w:ilvl w:val="0"/>
          <w:numId w:val="47"/>
        </w:numPr>
        <w:shd w:val="clear" w:color="auto" w:fill="auto"/>
        <w:spacing w:before="0" w:after="0"/>
        <w:ind w:hanging="425" w:left="425"/>
        <w:rPr>
          <w:color w:val="auto"/>
          <w:highlight w:val="white"/>
        </w:rPr>
      </w:pPr>
      <w:r>
        <w:rPr>
          <w:color w:val="auto"/>
          <w:highlight w:val="white"/>
        </w:rPr>
        <w:t>в Субъекте действует мера поддержки экспорта – компенсация или софинансирование затрат региональных Организаций на продвижение товаров в зарубежных СМИ или сети Интернет за счет средств бюджета Субъекта (п. 3 настоящего Инструмента). Эта мера поддержки предоставлена в отчетном году не менее 1 (одной) Организации.</w:t>
      </w:r>
    </w:p>
    <w:p>
      <w:pPr>
        <w:sectPr>
          <w:headerReference w:type="even" r:id="rId53"/>
          <w:headerReference w:type="default" r:id="rId54"/>
          <w:headerReference w:type="first" r:id="rId55"/>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27"/>
        <w:keepNext w:val="true"/>
        <w:keepLines/>
        <w:shd w:val="clear" w:color="auto" w:fill="auto"/>
        <w:tabs>
          <w:tab w:val="clear" w:pos="709"/>
          <w:tab w:val="left" w:pos="571" w:leader="none"/>
        </w:tabs>
        <w:rPr>
          <w:color w:val="auto"/>
          <w:highlight w:val="white"/>
        </w:rPr>
      </w:pPr>
      <w:r>
        <w:rPr>
          <w:color w:val="auto"/>
          <w:highlight w:val="white"/>
        </w:rPr>
        <w:t>Инструмент 15. Обеспечение присутствия субъекта Российской Федерации на зарубежных рынках</w:t>
      </w:r>
    </w:p>
    <w:p>
      <w:pPr>
        <w:pStyle w:val="14"/>
        <w:shd w:val="clear" w:color="auto" w:fill="auto"/>
        <w:spacing w:before="0" w:after="120"/>
        <w:rPr>
          <w:color w:val="auto"/>
          <w:highlight w:val="white"/>
        </w:rPr>
      </w:pPr>
      <w:r>
        <w:rPr>
          <w:color w:val="auto"/>
          <w:highlight w:val="white"/>
        </w:rPr>
        <w:t>1.</w:t>
        <w:tab/>
        <w:t>Субъект может обеспечивать свое присутствие на зарубежных рынках, определенных Стратегией ВЭД или иными документами стратегического планирования Субъекта как приоритетные, путём создания за рубежом структур, действующих не менее 1 года и обеспечивающих представительские и содействующие экспортной поддержке функции (далее – Точка присутствия, Точки присутствия).</w:t>
      </w:r>
    </w:p>
    <w:p>
      <w:pPr>
        <w:pStyle w:val="14"/>
        <w:shd w:val="clear" w:color="auto" w:fill="auto"/>
        <w:spacing w:before="0" w:after="120"/>
        <w:rPr>
          <w:color w:val="auto"/>
          <w:highlight w:val="white"/>
        </w:rPr>
      </w:pPr>
      <w:r>
        <w:rPr>
          <w:color w:val="auto"/>
          <w:highlight w:val="white"/>
        </w:rPr>
        <w:t>В случае принятия соответствующего решения Субъекту рекомендовано наделять Точку присутствия функциями по содействию неограниченному кругу Организаций, зарегистрированных на его территории (далее – Функции):</w:t>
      </w:r>
    </w:p>
    <w:p>
      <w:pPr>
        <w:pStyle w:val="14"/>
        <w:numPr>
          <w:ilvl w:val="0"/>
          <w:numId w:val="112"/>
        </w:numPr>
        <w:shd w:val="clear" w:color="auto" w:fill="auto"/>
        <w:spacing w:before="0" w:after="0"/>
        <w:ind w:hanging="425" w:left="425"/>
        <w:rPr>
          <w:color w:val="auto"/>
          <w:highlight w:val="white"/>
        </w:rPr>
      </w:pPr>
      <w:r>
        <w:rPr>
          <w:color w:val="auto"/>
          <w:highlight w:val="white"/>
        </w:rPr>
        <w:t>представительство интересов Организаций в стране пребывания;</w:t>
      </w:r>
    </w:p>
    <w:p>
      <w:pPr>
        <w:pStyle w:val="14"/>
        <w:numPr>
          <w:ilvl w:val="0"/>
          <w:numId w:val="112"/>
        </w:numPr>
        <w:shd w:val="clear" w:color="auto" w:fill="auto"/>
        <w:spacing w:before="0" w:after="0"/>
        <w:ind w:hanging="425" w:left="425"/>
        <w:rPr>
          <w:color w:val="auto"/>
          <w:highlight w:val="white"/>
        </w:rPr>
      </w:pPr>
      <w:r>
        <w:rPr>
          <w:color w:val="auto"/>
          <w:highlight w:val="white"/>
        </w:rPr>
        <w:t>поиск партнеров, обеспечение проведения переговоров с иностранными контрагентами, продвижение бренда Субъекта;</w:t>
      </w:r>
    </w:p>
    <w:p>
      <w:pPr>
        <w:pStyle w:val="14"/>
        <w:numPr>
          <w:ilvl w:val="0"/>
          <w:numId w:val="112"/>
        </w:numPr>
        <w:shd w:val="clear" w:color="auto" w:fill="auto"/>
        <w:spacing w:before="0" w:after="102"/>
        <w:ind w:hanging="425" w:left="425"/>
        <w:rPr>
          <w:color w:val="auto"/>
          <w:highlight w:val="white"/>
        </w:rPr>
      </w:pPr>
      <w:r>
        <w:rPr>
          <w:color w:val="auto"/>
          <w:highlight w:val="white"/>
        </w:rPr>
        <w:t>содействие в открытии представительств и создании совместных предприятий на территории иностранного государства.</w:t>
      </w:r>
    </w:p>
    <w:p>
      <w:pPr>
        <w:pStyle w:val="14"/>
        <w:shd w:val="clear" w:color="auto" w:fill="auto"/>
        <w:spacing w:before="0" w:after="120"/>
        <w:rPr>
          <w:color w:val="auto"/>
          <w:highlight w:val="white"/>
        </w:rPr>
      </w:pPr>
      <w:r>
        <w:rPr>
          <w:color w:val="auto"/>
          <w:highlight w:val="white"/>
        </w:rPr>
        <w:t>2.</w:t>
        <w:tab/>
        <w:t>Субъект может обеспечить продвижение экспорта за рубежом в рамках следующих форматов присутствия на зарубежных рынках:</w:t>
      </w:r>
    </w:p>
    <w:p>
      <w:pPr>
        <w:pStyle w:val="14"/>
        <w:numPr>
          <w:ilvl w:val="0"/>
          <w:numId w:val="16"/>
        </w:numPr>
        <w:shd w:val="clear" w:color="auto" w:fill="auto"/>
        <w:spacing w:before="0" w:after="0"/>
        <w:ind w:hanging="425" w:left="425"/>
        <w:rPr>
          <w:color w:val="auto"/>
          <w:highlight w:val="white"/>
        </w:rPr>
      </w:pPr>
      <w:r>
        <w:rPr>
          <w:color w:val="auto"/>
          <w:highlight w:val="white"/>
        </w:rPr>
        <w:t>создание собственного представительства или демонстрационного павильона (шоурума) Субъекта в иностранном государстве;</w:t>
      </w:r>
    </w:p>
    <w:p>
      <w:pPr>
        <w:pStyle w:val="14"/>
        <w:numPr>
          <w:ilvl w:val="0"/>
          <w:numId w:val="16"/>
        </w:numPr>
        <w:shd w:val="clear" w:color="auto" w:fill="auto"/>
        <w:spacing w:before="0" w:after="0"/>
        <w:ind w:hanging="425" w:left="425"/>
        <w:rPr>
          <w:color w:val="auto"/>
          <w:highlight w:val="white"/>
        </w:rPr>
      </w:pPr>
      <w:r>
        <w:rPr>
          <w:color w:val="auto"/>
        </w:rPr>
        <w:t>привлечение представителя Субъекта в иностранном государстве, действующего на основании гражданско-правового договора, включая договоры, регулирующие предпринимательскую деятельность (хозяйственные или посреднические), от имени и в интересах Субъекта и/или в интересах Организаций;</w:t>
      </w:r>
    </w:p>
    <w:p>
      <w:pPr>
        <w:pStyle w:val="14"/>
        <w:numPr>
          <w:ilvl w:val="0"/>
          <w:numId w:val="16"/>
        </w:numPr>
        <w:shd w:val="clear" w:color="auto" w:fill="auto"/>
        <w:spacing w:before="0" w:after="0"/>
        <w:ind w:hanging="425" w:left="425"/>
        <w:rPr>
          <w:color w:val="auto"/>
          <w:highlight w:val="white"/>
        </w:rPr>
      </w:pPr>
      <w:r>
        <w:rPr>
          <w:color w:val="auto"/>
          <w:highlight w:val="white"/>
        </w:rPr>
        <w:t xml:space="preserve">включение представителя Субъекта в состав торгового представительства Российской Федерации в иностранном государстве в порядке, установленном п. 8 Положения о торговом представительстве Российской Федерации в иностранном государстве, утвержденного постановлением Правительства Российской Федерации </w:t>
      </w:r>
      <w:r>
        <w:rPr>
          <w:color w:val="auto"/>
          <w:highlight w:val="white"/>
        </w:rPr>
        <w:br w:type="textWrapping" w:clear="all"/>
      </w:r>
      <w:r>
        <w:rPr>
          <w:color w:val="auto"/>
          <w:highlight w:val="white"/>
        </w:rPr>
        <w:t>от 27.06.2005 № 401 «Об оптимизации системы торговых представительств Российской Федерации в иностранных государствах»;</w:t>
      </w:r>
    </w:p>
    <w:p>
      <w:pPr>
        <w:pStyle w:val="14"/>
        <w:numPr>
          <w:ilvl w:val="0"/>
          <w:numId w:val="16"/>
        </w:numPr>
        <w:shd w:val="clear" w:color="auto" w:fill="auto"/>
        <w:spacing w:before="0" w:after="0"/>
        <w:ind w:hanging="425" w:left="425"/>
        <w:rPr>
          <w:color w:val="auto"/>
          <w:highlight w:val="white"/>
        </w:rPr>
      </w:pPr>
      <w:r>
        <w:rPr>
          <w:color w:val="auto"/>
          <w:highlight w:val="white"/>
        </w:rPr>
        <w:t>использование представительства подведомственной организации Субъекта за рубежом;</w:t>
      </w:r>
    </w:p>
    <w:p>
      <w:pPr>
        <w:pStyle w:val="14"/>
        <w:numPr>
          <w:ilvl w:val="0"/>
          <w:numId w:val="16"/>
        </w:numPr>
        <w:shd w:val="clear" w:color="auto" w:fill="auto"/>
        <w:spacing w:before="0" w:after="0"/>
        <w:ind w:hanging="425" w:left="425"/>
        <w:rPr>
          <w:color w:val="auto"/>
          <w:highlight w:val="white"/>
        </w:rPr>
      </w:pPr>
      <w:r>
        <w:rPr>
          <w:color w:val="auto"/>
          <w:highlight w:val="white"/>
        </w:rPr>
        <w:t>представление интересов участников внешнеэкономической деятельности Субъекта в иностранном государстве в формате государственно-частного партнерства;</w:t>
      </w:r>
    </w:p>
    <w:p>
      <w:pPr>
        <w:pStyle w:val="14"/>
        <w:numPr>
          <w:ilvl w:val="0"/>
          <w:numId w:val="16"/>
        </w:numPr>
        <w:shd w:val="clear" w:color="auto" w:fill="auto"/>
        <w:spacing w:before="0" w:after="0"/>
        <w:ind w:hanging="425" w:left="425"/>
        <w:rPr>
          <w:color w:val="auto"/>
          <w:highlight w:val="white"/>
        </w:rPr>
      </w:pPr>
      <w:r>
        <w:rPr>
          <w:color w:val="auto"/>
          <w:highlight w:val="white"/>
        </w:rPr>
        <w:t>совместное использование представительства с другими Субъектами в рамках межрегиональной кооперации;</w:t>
      </w:r>
    </w:p>
    <w:p>
      <w:pPr>
        <w:pStyle w:val="14"/>
        <w:numPr>
          <w:ilvl w:val="0"/>
          <w:numId w:val="16"/>
        </w:numPr>
        <w:shd w:val="clear" w:color="auto" w:fill="auto"/>
        <w:spacing w:before="0" w:after="0"/>
        <w:ind w:hanging="425" w:left="425"/>
        <w:rPr>
          <w:color w:val="auto"/>
          <w:highlight w:val="white"/>
        </w:rPr>
      </w:pPr>
      <w:r>
        <w:rPr>
          <w:color w:val="auto"/>
        </w:rPr>
        <w:t>размещение продукции одной и более Организаций, зарегистрированных на территории Субъекта, в российском национальном павильоне за рубежом, созданном и координируемом РЭЦ;</w:t>
      </w:r>
    </w:p>
    <w:p>
      <w:pPr>
        <w:pStyle w:val="14"/>
        <w:numPr>
          <w:ilvl w:val="0"/>
          <w:numId w:val="16"/>
        </w:numPr>
        <w:shd w:val="clear" w:color="auto" w:fill="auto"/>
        <w:ind w:hanging="425" w:left="425"/>
        <w:rPr>
          <w:color w:val="auto"/>
          <w:highlight w:val="white"/>
        </w:rPr>
      </w:pPr>
      <w:r>
        <w:rPr>
          <w:color w:val="auto"/>
          <w:highlight w:val="white"/>
        </w:rPr>
        <w:t>иное присутствие, обеспечивающее реализацию всех Функций Точки присутствия.</w:t>
      </w:r>
    </w:p>
    <w:p>
      <w:pPr>
        <w:pStyle w:val="14"/>
        <w:shd w:val="clear" w:color="auto" w:fill="auto"/>
        <w:rPr>
          <w:color w:val="auto"/>
          <w:highlight w:val="white"/>
        </w:rPr>
      </w:pPr>
      <w:r>
        <w:rPr>
          <w:color w:val="auto"/>
          <w:highlight w:val="white"/>
        </w:rPr>
        <w:t>3.</w:t>
        <w:tab/>
        <w:t>Кроме того, Субъекту рекомендовано расширять возможности использования инструментов развития международных и внешнеэкономических связей Субъектов, предусмотренных федеральными законами от 04.01.1999 № 4-ФЗ «О координации международных и внешнеэкономических связей субъектов Российской Федерации» и от 26.07.2017 № 179-ФЗ «Об основах приграничного сотрудничества».</w:t>
      </w:r>
    </w:p>
    <w:p>
      <w:pPr>
        <w:pStyle w:val="14"/>
        <w:shd w:val="clear" w:color="auto" w:fill="auto"/>
        <w:spacing w:before="0" w:after="120"/>
        <w:rPr>
          <w:color w:val="auto"/>
          <w:highlight w:val="white"/>
        </w:rPr>
      </w:pPr>
      <w:r>
        <w:rPr>
          <w:color w:val="auto"/>
          <w:highlight w:val="white"/>
        </w:rPr>
        <w:t>В частности, рекомендовано заключать соглашения об осуществлении международных и внешнеэкономических связей с субъектами иностранных федеративных государств, а также административно-территориальными образованиями иностранных государств или с органами государственной власти иностранных государств в целях продвижения региональных товаров на внешние рынки, определенные в качестве приоритетных для Субъекта в Стратегии ВЭД.</w:t>
      </w:r>
    </w:p>
    <w:p>
      <w:pPr>
        <w:pStyle w:val="14"/>
        <w:shd w:val="clear" w:color="auto" w:fill="auto"/>
        <w:rPr>
          <w:color w:val="auto"/>
          <w:highlight w:val="white"/>
        </w:rPr>
      </w:pPr>
      <w:r>
        <w:rPr>
          <w:color w:val="auto"/>
          <w:highlight w:val="white"/>
        </w:rPr>
        <w:t>4.</w:t>
        <w:tab/>
        <w:t>Субъекту рекомендовано сформировать план по обеспечению международного присутствия (далее – План присутствия) до 2030 года в любом из вышеуказанных форматов присутствия в странах, определенных Стратегией ВЭД как приоритетные, включив в том числе показатели с ненулевыми значениями:</w:t>
      </w:r>
    </w:p>
    <w:p>
      <w:pPr>
        <w:pStyle w:val="14"/>
        <w:numPr>
          <w:ilvl w:val="0"/>
          <w:numId w:val="115"/>
        </w:numPr>
        <w:shd w:val="clear" w:color="auto" w:fill="auto"/>
        <w:spacing w:before="0" w:after="0"/>
        <w:ind w:hanging="425" w:left="425"/>
        <w:rPr>
          <w:color w:val="auto"/>
          <w:highlight w:val="white"/>
        </w:rPr>
      </w:pPr>
      <w:r>
        <w:rPr>
          <w:color w:val="auto"/>
        </w:rPr>
        <w:t>количество стран присутствия Субъекта (ед.);</w:t>
      </w:r>
    </w:p>
    <w:p>
      <w:pPr>
        <w:pStyle w:val="14"/>
        <w:numPr>
          <w:ilvl w:val="0"/>
          <w:numId w:val="115"/>
        </w:numPr>
        <w:shd w:val="clear" w:color="auto" w:fill="auto"/>
        <w:ind w:hanging="425" w:left="425"/>
        <w:rPr>
          <w:color w:val="auto"/>
        </w:rPr>
      </w:pPr>
      <w:r>
        <w:rPr>
          <w:color w:val="auto"/>
          <w:highlight w:val="white"/>
        </w:rPr>
        <w:t xml:space="preserve">количество Организаций-экспортеров и потенциальных экспортеров, получивших услуги Точки (Точек) присутствия Субъекта в иностранном государстве (ед.) – устанавливается для каждой </w:t>
      </w:r>
      <w:r>
        <w:rPr>
          <w:color w:val="auto"/>
        </w:rPr>
        <w:t>страны присутствия Субъекта</w:t>
      </w:r>
      <w:r>
        <w:rPr>
          <w:color w:val="auto"/>
          <w:highlight w:val="white"/>
        </w:rPr>
        <w:t>].</w:t>
      </w:r>
    </w:p>
    <w:p>
      <w:pPr>
        <w:pStyle w:val="14"/>
        <w:shd w:val="clear" w:color="auto" w:fill="auto"/>
        <w:rPr>
          <w:color w:val="auto"/>
        </w:rPr>
      </w:pPr>
      <w:r>
        <w:rPr>
          <w:color w:val="auto"/>
          <w:highlight w:val="white"/>
        </w:rPr>
        <w:t>5.</w:t>
        <w:tab/>
        <w:t>План присутствия может быть разработан в одной из следующих форм по усмотрению Субъекта:</w:t>
      </w:r>
    </w:p>
    <w:p>
      <w:pPr>
        <w:pStyle w:val="14"/>
        <w:numPr>
          <w:ilvl w:val="0"/>
          <w:numId w:val="137"/>
        </w:numPr>
        <w:shd w:val="clear" w:color="auto" w:fill="auto"/>
        <w:spacing w:before="0" w:after="0"/>
        <w:ind w:hanging="425" w:left="425"/>
        <w:rPr>
          <w:color w:val="auto"/>
        </w:rPr>
      </w:pPr>
      <w:r>
        <w:rPr>
          <w:color w:val="auto"/>
          <w:highlight w:val="white"/>
        </w:rPr>
        <w:t>как раздел Региональной программы Субъекта либо её приложения;</w:t>
      </w:r>
    </w:p>
    <w:p>
      <w:pPr>
        <w:pStyle w:val="14"/>
        <w:numPr>
          <w:ilvl w:val="0"/>
          <w:numId w:val="137"/>
        </w:numPr>
        <w:shd w:val="clear" w:color="auto" w:fill="auto"/>
        <w:spacing w:before="0" w:after="0"/>
        <w:ind w:hanging="425" w:left="425"/>
        <w:rPr>
          <w:color w:val="auto"/>
        </w:rPr>
      </w:pPr>
      <w:r>
        <w:rPr>
          <w:color w:val="auto"/>
          <w:highlight w:val="white"/>
        </w:rPr>
        <w:t>как отдельное приложение к Региональной программе;</w:t>
      </w:r>
    </w:p>
    <w:p>
      <w:pPr>
        <w:pStyle w:val="14"/>
        <w:numPr>
          <w:ilvl w:val="0"/>
          <w:numId w:val="137"/>
        </w:numPr>
        <w:shd w:val="clear" w:color="auto" w:fill="auto"/>
        <w:ind w:hanging="425" w:left="425"/>
        <w:rPr>
          <w:color w:val="auto"/>
          <w:highlight w:val="white"/>
        </w:rPr>
      </w:pPr>
      <w:r>
        <w:rPr>
          <w:color w:val="auto"/>
          <w:highlight w:val="white"/>
        </w:rPr>
        <w:t>как отдельный документ планирования Субъекта, утвержденный высшим должностным лицом (руководителем высшего исполнительного органа государственной власти) Субъекта или решением Экспортного совета при высшем должностном лице Субъекта, если это входит в его компетенцию, или нормативным правовым актом Субъекта.</w:t>
      </w:r>
    </w:p>
    <w:p>
      <w:pPr>
        <w:pStyle w:val="Normal"/>
        <w:spacing w:before="0" w:after="102"/>
        <w:jc w:val="both"/>
        <w:rPr>
          <w:color w:val="auto"/>
        </w:rPr>
      </w:pPr>
      <w:r>
        <w:rPr>
          <w:rFonts w:cs="Times New Roman" w:ascii="Times New Roman" w:hAnsi="Times New Roman"/>
          <w:color w:val="auto"/>
          <w:highlight w:val="white"/>
        </w:rPr>
        <w:t>6.</w:t>
        <w:tab/>
        <w:t>Субъекту рекомендуется ежегодно до 20 декабря отчётного года формировать, утверждать и направлять в Систему страновые отчёты об исполнении Плана присутствия.</w:t>
      </w:r>
    </w:p>
    <w:p>
      <w:pPr>
        <w:pStyle w:val="Normal"/>
        <w:spacing w:before="0" w:after="102"/>
        <w:jc w:val="both"/>
        <w:rPr>
          <w:color w:val="auto"/>
        </w:rPr>
      </w:pPr>
      <w:r>
        <w:rPr>
          <w:rFonts w:cs="Times New Roman" w:ascii="Times New Roman" w:hAnsi="Times New Roman"/>
          <w:color w:val="auto"/>
          <w:highlight w:val="white"/>
        </w:rPr>
        <w:t>Форма утверждения отчёта определяется Субъектом самостоятельно из вариантов:</w:t>
      </w:r>
    </w:p>
    <w:p>
      <w:pPr>
        <w:pStyle w:val="ListParagraph"/>
        <w:numPr>
          <w:ilvl w:val="0"/>
          <w:numId w:val="138"/>
        </w:numPr>
        <w:ind w:hanging="425" w:left="425"/>
        <w:jc w:val="both"/>
        <w:rPr>
          <w:color w:val="auto"/>
        </w:rPr>
      </w:pPr>
      <w:r>
        <w:rPr>
          <w:rFonts w:cs="Times New Roman" w:ascii="Times New Roman" w:hAnsi="Times New Roman"/>
          <w:color w:val="auto"/>
          <w:highlight w:val="white"/>
        </w:rPr>
        <w:t>утвердительная надпись руководителя РОИВ-координатора либо профильного РОИВ, ответственного за реализацию настоящего Инструмента;</w:t>
      </w:r>
    </w:p>
    <w:p>
      <w:pPr>
        <w:pStyle w:val="ListParagraph"/>
        <w:numPr>
          <w:ilvl w:val="0"/>
          <w:numId w:val="138"/>
        </w:numPr>
        <w:ind w:hanging="425" w:left="425"/>
        <w:jc w:val="both"/>
        <w:rPr>
          <w:color w:val="auto"/>
        </w:rPr>
      </w:pPr>
      <w:r>
        <w:rPr>
          <w:rFonts w:cs="Times New Roman" w:ascii="Times New Roman" w:hAnsi="Times New Roman"/>
          <w:color w:val="auto"/>
          <w:highlight w:val="white"/>
        </w:rPr>
        <w:t>нормативно-правовой акт РОИВ-координатора либо профильного РОИВ, ответственного за реализацию настоящего Инструмента;</w:t>
      </w:r>
    </w:p>
    <w:p>
      <w:pPr>
        <w:pStyle w:val="ListParagraph"/>
        <w:numPr>
          <w:ilvl w:val="0"/>
          <w:numId w:val="138"/>
        </w:numPr>
        <w:spacing w:before="0" w:after="102"/>
        <w:ind w:hanging="425" w:left="425"/>
        <w:contextualSpacing/>
        <w:jc w:val="both"/>
        <w:rPr>
          <w:rFonts w:ascii="Times New Roman" w:hAnsi="Times New Roman" w:cs="Times New Roman"/>
          <w:color w:val="auto"/>
          <w:highlight w:val="white"/>
        </w:rPr>
      </w:pPr>
      <w:r>
        <w:rPr>
          <w:rFonts w:cs="Times New Roman" w:ascii="Times New Roman" w:hAnsi="Times New Roman"/>
          <w:color w:val="auto"/>
          <w:highlight w:val="white"/>
        </w:rPr>
        <w:t>решение Экспортного совета при высшем должностном лице Субъекта, если этот вопрос входит в его компетенцию.</w:t>
      </w:r>
    </w:p>
    <w:p>
      <w:pPr>
        <w:pStyle w:val="14"/>
        <w:shd w:val="clear" w:color="auto" w:fill="auto"/>
        <w:rPr>
          <w:color w:val="auto"/>
        </w:rPr>
      </w:pPr>
      <w:r>
        <w:rPr>
          <w:color w:val="auto"/>
        </w:rPr>
        <w:t>7.</w:t>
        <w:tab/>
      </w:r>
      <w:r>
        <w:rPr>
          <w:color w:val="auto"/>
          <w:highlight w:val="white"/>
        </w:rPr>
        <w:t xml:space="preserve">Инструмент считается внедренным, если </w:t>
      </w:r>
      <w:r>
        <w:rPr>
          <w:b/>
          <w:bCs/>
          <w:color w:val="auto"/>
          <w:highlight w:val="white"/>
        </w:rPr>
        <w:t>ежегодно</w:t>
      </w:r>
      <w:r>
        <w:rPr>
          <w:color w:val="auto"/>
          <w:highlight w:val="white"/>
        </w:rPr>
        <w:t>:</w:t>
      </w:r>
    </w:p>
    <w:p>
      <w:pPr>
        <w:pStyle w:val="14"/>
        <w:shd w:val="clear" w:color="auto" w:fill="auto"/>
        <w:rPr>
          <w:color w:val="auto"/>
          <w:highlight w:val="white"/>
        </w:rPr>
      </w:pPr>
      <w:r>
        <w:rPr>
          <w:color w:val="auto"/>
        </w:rPr>
        <w:t>7</w:t>
      </w:r>
      <w:r>
        <w:rPr>
          <w:color w:val="auto"/>
          <w:highlight w:val="white"/>
        </w:rPr>
        <w:t>.1.</w:t>
        <w:tab/>
        <w:t>Уровень 1:</w:t>
      </w:r>
    </w:p>
    <w:p>
      <w:pPr>
        <w:pStyle w:val="14"/>
        <w:shd w:val="clear" w:color="auto" w:fill="auto"/>
        <w:rPr>
          <w:color w:val="auto"/>
          <w:highlight w:val="white"/>
        </w:rPr>
      </w:pPr>
      <w:r>
        <w:rPr>
          <w:color w:val="auto"/>
        </w:rPr>
        <w:t>7</w:t>
      </w:r>
      <w:r>
        <w:rPr>
          <w:color w:val="auto"/>
          <w:highlight w:val="white"/>
        </w:rPr>
        <w:t>.1.1.</w:t>
        <w:tab/>
        <w:t>В первый год внедрения:</w:t>
      </w:r>
    </w:p>
    <w:p>
      <w:pPr>
        <w:pStyle w:val="14"/>
        <w:numPr>
          <w:ilvl w:val="0"/>
          <w:numId w:val="103"/>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48"/>
        </w:numPr>
        <w:shd w:val="clear" w:color="auto" w:fill="auto"/>
        <w:spacing w:before="0" w:after="102"/>
        <w:ind w:hanging="425" w:left="425"/>
        <w:rPr>
          <w:color w:val="auto"/>
          <w:highlight w:val="white"/>
        </w:rPr>
      </w:pPr>
      <w:r>
        <w:rPr>
          <w:color w:val="auto"/>
          <w:highlight w:val="white"/>
        </w:rPr>
        <w:t>сформирован (актуализирован)</w:t>
      </w:r>
      <w:r>
        <w:rPr>
          <w:color w:val="auto"/>
        </w:rPr>
        <w:t xml:space="preserve"> </w:t>
      </w:r>
      <w:r>
        <w:rPr>
          <w:color w:val="auto"/>
          <w:highlight w:val="white"/>
        </w:rPr>
        <w:t>План присутствия в странах, определенных Стратегией ВЭД как приоритетные.</w:t>
      </w:r>
    </w:p>
    <w:p>
      <w:pPr>
        <w:pStyle w:val="14"/>
        <w:shd w:val="clear" w:color="auto" w:fill="auto"/>
        <w:rPr>
          <w:color w:val="auto"/>
          <w:highlight w:val="white"/>
        </w:rPr>
      </w:pPr>
      <w:r>
        <w:rPr>
          <w:color w:val="auto"/>
        </w:rPr>
        <w:t>7</w:t>
      </w:r>
      <w:r>
        <w:rPr>
          <w:color w:val="auto"/>
          <w:highlight w:val="white"/>
        </w:rPr>
        <w:t>.1.2.</w:t>
        <w:tab/>
        <w:t>Во второй год внедрения и далее:</w:t>
      </w:r>
    </w:p>
    <w:p>
      <w:pPr>
        <w:pStyle w:val="14"/>
        <w:numPr>
          <w:ilvl w:val="0"/>
          <w:numId w:val="104"/>
        </w:numPr>
        <w:shd w:val="clear" w:color="auto" w:fill="auto"/>
        <w:spacing w:before="0" w:after="0"/>
        <w:ind w:hanging="425" w:left="425"/>
        <w:rPr>
          <w:color w:val="auto"/>
          <w:highlight w:val="white"/>
        </w:rPr>
      </w:pPr>
      <w:r>
        <w:rPr>
          <w:color w:val="auto"/>
          <w:highlight w:val="white"/>
        </w:rPr>
        <w:t>Анкета Инструмента в Системе заполнена на 100%;</w:t>
      </w:r>
    </w:p>
    <w:p>
      <w:pPr>
        <w:pStyle w:val="14"/>
        <w:numPr>
          <w:ilvl w:val="0"/>
          <w:numId w:val="104"/>
        </w:numPr>
        <w:shd w:val="clear" w:color="auto" w:fill="auto"/>
        <w:spacing w:before="0" w:after="0"/>
        <w:ind w:hanging="425" w:left="425"/>
        <w:rPr>
          <w:color w:val="auto"/>
          <w:highlight w:val="white"/>
        </w:rPr>
      </w:pPr>
      <w:r>
        <w:rPr>
          <w:color w:val="auto"/>
          <w:highlight w:val="white"/>
        </w:rPr>
        <w:t>страновые отчёты об исполнении Плана присутствия предоставлены в Систему (согласованы экспертом РЭЦ) до 20 декабря отчетного года;</w:t>
      </w:r>
    </w:p>
    <w:p>
      <w:pPr>
        <w:pStyle w:val="14"/>
        <w:numPr>
          <w:ilvl w:val="0"/>
          <w:numId w:val="49"/>
        </w:numPr>
        <w:shd w:val="clear" w:color="auto" w:fill="auto"/>
        <w:ind w:hanging="425" w:left="425"/>
        <w:rPr>
          <w:color w:val="auto"/>
          <w:highlight w:val="white"/>
        </w:rPr>
      </w:pPr>
      <w:r>
        <w:rPr>
          <w:color w:val="auto"/>
        </w:rPr>
        <w:t xml:space="preserve">показатель «количество стран присутствия Субъекта», установленный </w:t>
      </w:r>
      <w:r>
        <w:rPr>
          <w:color w:val="auto"/>
          <w:highlight w:val="white"/>
        </w:rPr>
        <w:t>согласно Плану присутствия на отчетный год, исполнен полностью до 20 декабря отчетного года.</w:t>
      </w:r>
    </w:p>
    <w:p>
      <w:pPr>
        <w:pStyle w:val="14"/>
        <w:shd w:val="clear" w:color="auto" w:fill="auto"/>
        <w:spacing w:before="0" w:after="102"/>
        <w:rPr>
          <w:color w:val="auto"/>
          <w:highlight w:val="white"/>
        </w:rPr>
      </w:pPr>
      <w:r>
        <w:rPr>
          <w:color w:val="auto"/>
        </w:rPr>
        <w:t>7</w:t>
      </w:r>
      <w:r>
        <w:rPr>
          <w:color w:val="auto"/>
          <w:highlight w:val="white"/>
        </w:rPr>
        <w:t>.2.</w:t>
        <w:tab/>
        <w:t>Уровень 2:</w:t>
      </w:r>
    </w:p>
    <w:p>
      <w:pPr>
        <w:pStyle w:val="14"/>
        <w:numPr>
          <w:ilvl w:val="0"/>
          <w:numId w:val="116"/>
        </w:numPr>
        <w:shd w:val="clear" w:color="auto" w:fill="auto"/>
        <w:ind w:hanging="425" w:left="425"/>
        <w:rPr>
          <w:color w:val="auto"/>
          <w:highlight w:val="white"/>
        </w:rPr>
      </w:pPr>
      <w:r>
        <w:rPr>
          <w:color w:val="auto"/>
        </w:rPr>
        <w:t xml:space="preserve">показатель «количество стран присутствия Субъекта», установленный </w:t>
      </w:r>
      <w:r>
        <w:rPr>
          <w:color w:val="auto"/>
          <w:highlight w:val="white"/>
        </w:rPr>
        <w:t>согласно Плану присутствия на отчетный год, перевыполнен.</w:t>
      </w:r>
    </w:p>
    <w:p>
      <w:pPr>
        <w:pStyle w:val="14"/>
        <w:numPr>
          <w:ilvl w:val="0"/>
          <w:numId w:val="60"/>
        </w:numPr>
        <w:shd w:val="clear" w:color="auto" w:fill="auto"/>
        <w:spacing w:before="0" w:after="102"/>
        <w:ind w:hanging="425" w:left="425"/>
        <w:rPr>
          <w:color w:val="auto"/>
          <w:highlight w:val="white"/>
        </w:rPr>
      </w:pPr>
      <w:r>
        <w:rPr>
          <w:color w:val="auto"/>
        </w:rPr>
        <w:t>показатель «</w:t>
      </w:r>
      <w:r>
        <w:rPr>
          <w:color w:val="auto"/>
          <w:highlight w:val="white"/>
        </w:rPr>
        <w:t>количество Организаций-экспортеров и потенциальных экспортеров, получивших услуги Точки (Точек) присутствия Субъекта за рубежом»</w:t>
      </w:r>
      <w:r>
        <w:rPr>
          <w:color w:val="auto"/>
        </w:rPr>
        <w:t xml:space="preserve">, установленный </w:t>
      </w:r>
      <w:r>
        <w:rPr>
          <w:color w:val="auto"/>
          <w:highlight w:val="white"/>
        </w:rPr>
        <w:t>для каждой страны присутствия Субъекта согласно Плану присутствия на отчетный год не менее нижеследующего значения, исполнен полностью:</w:t>
      </w:r>
    </w:p>
    <w:p>
      <w:pPr>
        <w:pStyle w:val="14"/>
        <w:numPr>
          <w:ilvl w:val="0"/>
          <w:numId w:val="113"/>
        </w:numPr>
        <w:shd w:val="clear" w:color="auto" w:fill="auto"/>
        <w:spacing w:before="0" w:after="0"/>
        <w:rPr>
          <w:color w:val="auto"/>
          <w:highlight w:val="white"/>
        </w:rPr>
      </w:pPr>
      <w:r>
        <w:rPr>
          <w:color w:val="auto"/>
        </w:rPr>
        <w:t>2</w:t>
      </w:r>
      <w:r>
        <w:rPr>
          <w:color w:val="auto"/>
          <w:highlight w:val="white"/>
        </w:rPr>
        <w:t xml:space="preserve"> ед. – для регионов, относящихся к 1-й группе;</w:t>
      </w:r>
    </w:p>
    <w:p>
      <w:pPr>
        <w:pStyle w:val="14"/>
        <w:numPr>
          <w:ilvl w:val="0"/>
          <w:numId w:val="113"/>
        </w:numPr>
        <w:shd w:val="clear" w:color="auto" w:fill="auto"/>
        <w:spacing w:before="0" w:after="0"/>
        <w:rPr>
          <w:color w:val="auto"/>
          <w:highlight w:val="white"/>
        </w:rPr>
      </w:pPr>
      <w:r>
        <w:rPr>
          <w:color w:val="auto"/>
        </w:rPr>
        <w:t>3</w:t>
      </w:r>
      <w:r>
        <w:rPr>
          <w:color w:val="auto"/>
          <w:highlight w:val="white"/>
        </w:rPr>
        <w:t xml:space="preserve"> ед. – для регионов, относящихся к 2-й группе;</w:t>
      </w:r>
    </w:p>
    <w:p>
      <w:pPr>
        <w:pStyle w:val="14"/>
        <w:numPr>
          <w:ilvl w:val="0"/>
          <w:numId w:val="113"/>
        </w:numPr>
        <w:shd w:val="clear" w:color="auto" w:fill="auto"/>
        <w:spacing w:before="0" w:after="0"/>
        <w:rPr>
          <w:color w:val="auto"/>
          <w:highlight w:val="white"/>
        </w:rPr>
      </w:pPr>
      <w:r>
        <w:rPr>
          <w:color w:val="auto"/>
        </w:rPr>
        <w:t>5</w:t>
      </w:r>
      <w:r>
        <w:rPr>
          <w:color w:val="auto"/>
          <w:highlight w:val="white"/>
        </w:rPr>
        <w:t xml:space="preserve"> ед. – для регионов, относящихся к 3-й группе;</w:t>
      </w:r>
    </w:p>
    <w:p>
      <w:pPr>
        <w:pStyle w:val="14"/>
        <w:numPr>
          <w:ilvl w:val="0"/>
          <w:numId w:val="113"/>
        </w:numPr>
        <w:shd w:val="clear" w:color="auto" w:fill="auto"/>
        <w:spacing w:before="0" w:after="0"/>
        <w:rPr>
          <w:color w:val="auto"/>
          <w:highlight w:val="white"/>
        </w:rPr>
      </w:pPr>
      <w:r>
        <w:rPr>
          <w:color w:val="auto"/>
        </w:rPr>
        <w:t>7</w:t>
      </w:r>
      <w:r>
        <w:rPr>
          <w:color w:val="auto"/>
          <w:highlight w:val="white"/>
        </w:rPr>
        <w:t xml:space="preserve"> ед. – для регионов, относящихся к 4-й группе; </w:t>
      </w:r>
    </w:p>
    <w:p>
      <w:pPr>
        <w:pStyle w:val="14"/>
        <w:numPr>
          <w:ilvl w:val="0"/>
          <w:numId w:val="113"/>
        </w:numPr>
        <w:shd w:val="clear" w:color="auto" w:fill="auto"/>
        <w:spacing w:before="0" w:after="102"/>
        <w:rPr>
          <w:color w:val="auto"/>
          <w:highlight w:val="white"/>
        </w:rPr>
      </w:pPr>
      <w:r>
        <w:rPr>
          <w:color w:val="auto"/>
          <w:highlight w:val="white"/>
        </w:rPr>
        <w:t>10 ед. – для регионов, относящихся к 5-й группе.</w:t>
      </w:r>
    </w:p>
    <w:p>
      <w:pPr>
        <w:pStyle w:val="14"/>
        <w:shd w:val="clear" w:color="auto" w:fill="auto"/>
        <w:rPr>
          <w:color w:val="auto"/>
          <w:highlight w:val="white"/>
        </w:rPr>
      </w:pPr>
      <w:r>
        <w:rPr>
          <w:color w:val="auto"/>
        </w:rPr>
        <w:t>7</w:t>
      </w:r>
      <w:r>
        <w:rPr>
          <w:color w:val="auto"/>
          <w:highlight w:val="white"/>
        </w:rPr>
        <w:t>.3.</w:t>
        <w:tab/>
        <w:t>Уровень 3:</w:t>
      </w:r>
    </w:p>
    <w:p>
      <w:pPr>
        <w:pStyle w:val="14"/>
        <w:numPr>
          <w:ilvl w:val="0"/>
          <w:numId w:val="117"/>
        </w:numPr>
        <w:shd w:val="clear" w:color="auto" w:fill="auto"/>
        <w:spacing w:before="0" w:after="102"/>
        <w:ind w:hanging="425" w:left="425"/>
        <w:rPr>
          <w:color w:val="auto"/>
          <w:highlight w:val="white"/>
        </w:rPr>
      </w:pPr>
      <w:r>
        <w:rPr>
          <w:color w:val="auto"/>
        </w:rPr>
        <w:t>показатель «</w:t>
      </w:r>
      <w:r>
        <w:rPr>
          <w:color w:val="auto"/>
          <w:highlight w:val="white"/>
        </w:rPr>
        <w:t>количество Организаций-экспортеров и потенциальных экспортеров, получивших услуги Точки (Точек) присутствия Субъекта за рубежом»</w:t>
      </w:r>
      <w:r>
        <w:rPr>
          <w:color w:val="auto"/>
        </w:rPr>
        <w:t xml:space="preserve">, установленный </w:t>
      </w:r>
      <w:r>
        <w:rPr>
          <w:color w:val="auto"/>
          <w:highlight w:val="white"/>
        </w:rPr>
        <w:t>для каждой страны присутствия Субъекта согласно Плану присутствия на отчетный год не менее нижеследующего значения, исполнен полностью:</w:t>
      </w:r>
    </w:p>
    <w:p>
      <w:pPr>
        <w:pStyle w:val="14"/>
        <w:numPr>
          <w:ilvl w:val="0"/>
          <w:numId w:val="114"/>
        </w:numPr>
        <w:shd w:val="clear" w:color="auto" w:fill="auto"/>
        <w:spacing w:before="0" w:after="0"/>
        <w:rPr>
          <w:color w:val="auto"/>
          <w:highlight w:val="white"/>
        </w:rPr>
      </w:pPr>
      <w:r>
        <w:rPr>
          <w:color w:val="auto"/>
          <w:highlight w:val="white"/>
        </w:rPr>
        <w:t>4 ед. – для регионов, относящихся к 1-й группе;</w:t>
      </w:r>
    </w:p>
    <w:p>
      <w:pPr>
        <w:pStyle w:val="14"/>
        <w:numPr>
          <w:ilvl w:val="0"/>
          <w:numId w:val="114"/>
        </w:numPr>
        <w:shd w:val="clear" w:color="auto" w:fill="auto"/>
        <w:spacing w:before="0" w:after="0"/>
        <w:rPr>
          <w:color w:val="auto"/>
          <w:highlight w:val="white"/>
        </w:rPr>
      </w:pPr>
      <w:r>
        <w:rPr>
          <w:color w:val="auto"/>
          <w:highlight w:val="white"/>
        </w:rPr>
        <w:t>6 ед. – для регионов, относящихся к 2-й группе;</w:t>
      </w:r>
    </w:p>
    <w:p>
      <w:pPr>
        <w:pStyle w:val="14"/>
        <w:numPr>
          <w:ilvl w:val="0"/>
          <w:numId w:val="114"/>
        </w:numPr>
        <w:shd w:val="clear" w:color="auto" w:fill="auto"/>
        <w:spacing w:before="0" w:after="0"/>
        <w:rPr>
          <w:color w:val="auto"/>
          <w:highlight w:val="white"/>
        </w:rPr>
      </w:pPr>
      <w:r>
        <w:rPr>
          <w:color w:val="auto"/>
          <w:highlight w:val="white"/>
        </w:rPr>
        <w:t>10 ед. – для регионов, относящихся к 3-й группе;</w:t>
      </w:r>
    </w:p>
    <w:p>
      <w:pPr>
        <w:pStyle w:val="14"/>
        <w:numPr>
          <w:ilvl w:val="0"/>
          <w:numId w:val="114"/>
        </w:numPr>
        <w:shd w:val="clear" w:color="auto" w:fill="auto"/>
        <w:spacing w:before="0" w:after="0"/>
        <w:rPr>
          <w:color w:val="auto"/>
          <w:highlight w:val="white"/>
        </w:rPr>
      </w:pPr>
      <w:r>
        <w:rPr>
          <w:color w:val="auto"/>
          <w:highlight w:val="white"/>
        </w:rPr>
        <w:t xml:space="preserve">14 ед. – для регионов, относящихся к 4-й группе; </w:t>
      </w:r>
    </w:p>
    <w:p>
      <w:pPr>
        <w:pStyle w:val="14"/>
        <w:numPr>
          <w:ilvl w:val="0"/>
          <w:numId w:val="114"/>
        </w:numPr>
        <w:shd w:val="clear" w:color="auto" w:fill="auto"/>
        <w:spacing w:before="0" w:after="102"/>
        <w:rPr>
          <w:color w:val="auto"/>
          <w:highlight w:val="white"/>
        </w:rPr>
      </w:pPr>
      <w:r>
        <w:rPr>
          <w:color w:val="auto"/>
          <w:highlight w:val="white"/>
        </w:rPr>
        <w:t>20 ед. – для регионов, относящихся к 5-й группе.</w:t>
      </w:r>
    </w:p>
    <w:p>
      <w:pPr>
        <w:pStyle w:val="14"/>
        <w:numPr>
          <w:ilvl w:val="0"/>
          <w:numId w:val="50"/>
        </w:numPr>
        <w:shd w:val="clear" w:color="auto" w:fill="auto"/>
        <w:spacing w:before="0" w:after="102"/>
        <w:ind w:hanging="425" w:left="425"/>
        <w:rPr>
          <w:color w:val="auto"/>
          <w:highlight w:val="white"/>
        </w:rPr>
      </w:pPr>
      <w:r>
        <w:rPr>
          <w:color w:val="auto"/>
        </w:rPr>
        <w:t>не менее чем в одной Точке присутствия Субъекта за рубежом в отчетном году организована межрегиональная кооперация совместно с другими Субъектами.</w:t>
      </w:r>
    </w:p>
    <w:p>
      <w:pPr>
        <w:sectPr>
          <w:headerReference w:type="even" r:id="rId56"/>
          <w:headerReference w:type="default" r:id="rId57"/>
          <w:headerReference w:type="first" r:id="rId58"/>
          <w:footnotePr>
            <w:numFmt w:val="decimal"/>
          </w:footnotePr>
          <w:type w:val="nextPage"/>
          <w:pgSz w:w="11906" w:h="16838"/>
          <w:pgMar w:left="1134" w:right="850" w:gutter="0" w:header="709" w:top="1134" w:footer="0" w:bottom="1134"/>
          <w:pgNumType w:fmt="decimal"/>
          <w:formProt w:val="false"/>
          <w:textDirection w:val="lrTb"/>
          <w:docGrid w:type="default" w:linePitch="360" w:charSpace="0"/>
        </w:sectPr>
        <w:pStyle w:val="14"/>
        <w:shd w:val="clear" w:color="auto" w:fill="auto"/>
        <w:rPr>
          <w:color w:val="auto"/>
          <w:highlight w:val="white"/>
        </w:rPr>
      </w:pPr>
      <w:r>
        <w:rPr>
          <w:color w:val="auto"/>
          <w:highlight w:val="white"/>
        </w:rPr>
      </w:r>
    </w:p>
    <w:p>
      <w:pPr>
        <w:pStyle w:val="25"/>
        <w:numPr>
          <w:ilvl w:val="0"/>
          <w:numId w:val="15"/>
        </w:numPr>
        <w:shd w:val="clear" w:color="auto" w:fill="auto"/>
        <w:spacing w:before="0" w:after="0"/>
        <w:ind w:left="567" w:right="606"/>
        <w:jc w:val="center"/>
        <w:rPr>
          <w:color w:val="auto"/>
          <w:highlight w:val="white"/>
        </w:rPr>
      </w:pPr>
      <w:r>
        <w:rPr>
          <w:b/>
          <w:bCs/>
          <w:color w:val="auto"/>
          <w:highlight w:val="white"/>
        </w:rPr>
        <w:t xml:space="preserve">Ресурсное обеспечение развития экспортной деятельности субъекта Российской Федерации и стратегические ориентиры </w:t>
        <w:br/>
        <w:t>до 2030 года</w:t>
      </w:r>
    </w:p>
    <w:p>
      <w:pPr>
        <w:pStyle w:val="14"/>
        <w:shd w:val="clear" w:color="auto" w:fill="auto"/>
        <w:rPr>
          <w:color w:val="auto"/>
          <w:highlight w:val="white"/>
        </w:rPr>
      </w:pPr>
      <w:r>
        <w:rPr>
          <w:color w:val="auto"/>
          <w:highlight w:val="white"/>
        </w:rPr>
      </w:r>
    </w:p>
    <w:p>
      <w:pPr>
        <w:pStyle w:val="14"/>
        <w:shd w:val="clear" w:color="auto" w:fill="auto"/>
        <w:rPr>
          <w:color w:val="auto"/>
          <w:highlight w:val="white"/>
        </w:rPr>
      </w:pPr>
      <w:r>
        <w:rPr>
          <w:color w:val="auto"/>
          <w:highlight w:val="white"/>
        </w:rPr>
        <w:t xml:space="preserve">Субъекту рекомендовано предусмотреть объем бюджетных ассигнований на финансовое обеспечение реализации Региональной программы не менее чем </w:t>
      </w:r>
      <w:r>
        <w:rPr>
          <w:b/>
          <w:bCs/>
          <w:color w:val="auto"/>
          <w:sz w:val="22"/>
          <w:szCs w:val="22"/>
          <w:highlight w:val="white"/>
        </w:rPr>
        <w:t xml:space="preserve">0,01% ВРП </w:t>
      </w:r>
      <w:r>
        <w:rPr>
          <w:color w:val="auto"/>
          <w:highlight w:val="white"/>
        </w:rPr>
        <w:t xml:space="preserve">Субъекта, </w:t>
      </w:r>
      <w:r>
        <w:rPr>
          <w:color w:val="auto"/>
          <w:highlight w:val="white"/>
        </w:rPr>
        <w:br w:type="textWrapping" w:clear="all"/>
      </w:r>
      <w:r>
        <w:rPr>
          <w:color w:val="auto"/>
          <w:highlight w:val="white"/>
        </w:rPr>
        <w:t>но не менее 50 млн рублей ежегодно.</w:t>
      </w:r>
    </w:p>
    <w:p>
      <w:pPr>
        <w:pStyle w:val="14"/>
        <w:shd w:val="clear" w:color="auto" w:fill="auto"/>
        <w:rPr>
          <w:color w:val="auto"/>
          <w:highlight w:val="white"/>
        </w:rPr>
      </w:pPr>
      <w:r>
        <w:rPr>
          <w:color w:val="auto"/>
          <w:highlight w:val="white"/>
        </w:rPr>
        <w:t>В статьях расходов государственной программы по внешнеэкономической деятельности или подпрограммы по внешнеэкономической деятельности рекомендовано предусмотреть средства на внедрение в Субъекте всех инструментов Стандарта.</w:t>
      </w:r>
    </w:p>
    <w:p>
      <w:pPr>
        <w:sectPr>
          <w:headerReference w:type="even" r:id="rId59"/>
          <w:headerReference w:type="default" r:id="rId60"/>
          <w:headerReference w:type="first" r:id="rId61"/>
          <w:footnotePr>
            <w:numFmt w:val="decimal"/>
          </w:footnotePr>
          <w:type w:val="nextPage"/>
          <w:pgSz w:w="11906" w:h="16838"/>
          <w:pgMar w:left="1134" w:right="850" w:gutter="0" w:header="0" w:top="1134" w:footer="0" w:bottom="1134"/>
          <w:pgNumType w:fmt="decimal"/>
          <w:formProt w:val="false"/>
          <w:textDirection w:val="lrTb"/>
          <w:docGrid w:type="default" w:linePitch="360" w:charSpace="0"/>
        </w:sectPr>
        <w:pStyle w:val="14"/>
        <w:shd w:val="clear" w:color="auto" w:fill="auto"/>
        <w:spacing w:before="0" w:after="320"/>
        <w:rPr>
          <w:color w:val="auto"/>
          <w:highlight w:val="white"/>
        </w:rPr>
      </w:pPr>
      <w:r>
        <w:rPr>
          <w:color w:val="auto"/>
          <w:highlight w:val="white"/>
        </w:rPr>
        <w:t>Стратегические ориентиры Субъекта, к которым рекомендуется стремиться ежегодно при оптимизации условий ведения экспортной деятельности, определяются Субъектом. Плановые значения показателей, характеризующих экспортную деятельность, устанавливаются Субъектом самостоятельно и предусматриваются в Стратегии ВЭД и Региональной программе. Основным стратегическим показателем для Субъекта, характеризующим достижение национальной цели «Устойчивая и динамичная экономика», является обеспечение к 2030 году прироста объема экспорта несырьевых неэнергетических товаров не менее чем на две трети по сравнению с показателем 2023 года.</w:t>
      </w:r>
    </w:p>
    <w:p>
      <w:pPr>
        <w:pStyle w:val="25"/>
        <w:shd w:val="clear" w:color="auto" w:fill="auto"/>
        <w:spacing w:before="0" w:after="540"/>
        <w:jc w:val="center"/>
        <w:rPr>
          <w:color w:val="auto"/>
          <w:highlight w:val="white"/>
        </w:rPr>
      </w:pPr>
      <w:r>
        <w:rPr>
          <w:b/>
          <w:bCs/>
          <w:color w:val="auto"/>
          <w:highlight w:val="white"/>
        </w:rPr>
        <w:t>Заключение</w:t>
      </w:r>
    </w:p>
    <w:p>
      <w:pPr>
        <w:pStyle w:val="14"/>
        <w:shd w:val="clear" w:color="auto" w:fill="auto"/>
        <w:rPr>
          <w:color w:val="auto"/>
          <w:highlight w:val="white"/>
        </w:rPr>
      </w:pPr>
      <w:r>
        <w:rPr>
          <w:color w:val="auto"/>
          <w:highlight w:val="white"/>
        </w:rPr>
        <w:t>РЭЦ разработана онлайн-система мониторинга внедрения Стандарта, и Субъектам предоставлен доступ к указанной системе, которая позволяет оценить степень внедрения Стандарта в целом и в рамках каждого отдельного инструмента. Субъектам рекомендовано систематически (не реже одного раза в месяц) обновлять информацию о внедрении инструментов Стандарта в Системе.</w:t>
      </w:r>
    </w:p>
    <w:p>
      <w:pPr>
        <w:pStyle w:val="14"/>
        <w:shd w:val="clear" w:color="auto" w:fill="auto"/>
        <w:rPr>
          <w:color w:val="auto"/>
          <w:highlight w:val="white"/>
        </w:rPr>
      </w:pPr>
      <w:r>
        <w:rPr>
          <w:color w:val="auto"/>
          <w:highlight w:val="white"/>
        </w:rPr>
        <w:t>РЭЦ осуществляет мониторинг внедрения Стандарта, на регулярной основе доводит до сведения Субъектов количественную и качественную оценку внедрения Стандарта в Субъектах, обобщает лучшие региональные практики и оказывает содействие в их имплементации в других Субъектах.</w:t>
      </w:r>
    </w:p>
    <w:p>
      <w:pPr>
        <w:pStyle w:val="14"/>
        <w:shd w:val="clear" w:color="auto" w:fill="auto"/>
        <w:rPr>
          <w:color w:val="auto"/>
          <w:highlight w:val="white"/>
        </w:rPr>
      </w:pPr>
      <w:r>
        <w:rPr>
          <w:color w:val="auto"/>
          <w:highlight w:val="white"/>
        </w:rPr>
        <w:t>В течение года работа по обмену опытом ведется по федеральным округам; также РЭЦ проводит итоговый съезд всех Субъектов на ежегодной основе в целях подведения промежуточных итогов внедрения Стандарта и масштабирования лучших региональных практик.</w:t>
      </w:r>
    </w:p>
    <w:p>
      <w:pPr>
        <w:pStyle w:val="Normal"/>
        <w:spacing w:before="0" w:after="283"/>
        <w:jc w:val="center"/>
        <w:rPr>
          <w:rFonts w:ascii="Times New Roman" w:hAnsi="Times New Roman" w:eastAsia="Times New Roman" w:cs="Times New Roman"/>
          <w:b/>
          <w:bCs/>
          <w:color w:val="auto"/>
          <w:sz w:val="28"/>
          <w:szCs w:val="28"/>
          <w:highlight w:val="white"/>
        </w:rPr>
      </w:pPr>
      <w:r>
        <w:rPr>
          <w:rFonts w:eastAsia="Times New Roman" w:cs="Times New Roman" w:ascii="Times New Roman" w:hAnsi="Times New Roman"/>
          <w:b/>
          <w:bCs/>
          <w:color w:val="auto"/>
          <w:sz w:val="28"/>
          <w:szCs w:val="28"/>
          <w:highlight w:val="white"/>
        </w:rPr>
      </w:r>
      <w:r>
        <w:br w:type="page"/>
      </w:r>
    </w:p>
    <w:p>
      <w:pPr>
        <w:pStyle w:val="Normal"/>
        <w:spacing w:before="0" w:after="283"/>
        <w:jc w:val="center"/>
        <w:rPr>
          <w:rFonts w:ascii="Times New Roman" w:hAnsi="Times New Roman" w:eastAsia="Times New Roman" w:cs="Times New Roman"/>
          <w:b/>
          <w:bCs/>
          <w:color w:val="auto"/>
          <w:sz w:val="28"/>
          <w:szCs w:val="28"/>
        </w:rPr>
      </w:pPr>
      <w:r>
        <w:rPr>
          <w:rFonts w:eastAsia="Times New Roman" w:cs="Times New Roman" w:ascii="Times New Roman" w:hAnsi="Times New Roman"/>
          <w:b/>
          <w:bCs/>
          <w:color w:val="auto"/>
          <w:sz w:val="28"/>
          <w:szCs w:val="28"/>
          <w:highlight w:val="white"/>
        </w:rPr>
        <w:t>Приложение</w:t>
      </w:r>
    </w:p>
    <w:p>
      <w:pPr>
        <w:pStyle w:val="27"/>
        <w:keepNext w:val="true"/>
        <w:keepLines/>
        <w:numPr>
          <w:ilvl w:val="0"/>
          <w:numId w:val="51"/>
        </w:numPr>
        <w:shd w:val="clear" w:color="auto" w:fill="auto"/>
        <w:spacing w:before="0" w:after="102"/>
        <w:ind w:hanging="425" w:left="425"/>
        <w:rPr>
          <w:color w:val="auto"/>
          <w:highlight w:val="white"/>
        </w:rPr>
      </w:pPr>
      <w:r>
        <w:rPr>
          <w:color w:val="auto"/>
        </w:rPr>
        <w:t>Методика р</w:t>
      </w:r>
      <w:r>
        <w:rPr>
          <w:color w:val="auto"/>
          <w:highlight w:val="white"/>
        </w:rPr>
        <w:t>асчета значений показателя по количеству Субъектов, в которых внедрен Стандарт</w:t>
      </w:r>
    </w:p>
    <w:p>
      <w:pPr>
        <w:pStyle w:val="14"/>
        <w:shd w:val="clear" w:color="auto" w:fill="auto"/>
        <w:spacing w:before="0" w:after="102"/>
        <w:rPr>
          <w:color w:val="auto"/>
          <w:highlight w:val="white"/>
        </w:rPr>
      </w:pPr>
      <w:r>
        <w:rPr>
          <w:color w:val="auto"/>
          <w:highlight w:val="white"/>
        </w:rPr>
        <w:t>С целью обеспечения на ежемесячной основе расчета значения показателя по количеству Субъектов, в которых внедрен Стандарт, используется следующая методика оценки достижения показателя национального проекта «Международная кооперация и экспорт».</w:t>
      </w:r>
    </w:p>
    <w:p>
      <w:pPr>
        <w:pStyle w:val="14"/>
        <w:shd w:val="clear" w:color="auto" w:fill="auto"/>
        <w:spacing w:before="0" w:after="102"/>
        <w:rPr>
          <w:color w:val="auto"/>
        </w:rPr>
      </w:pPr>
      <w:r>
        <w:rPr>
          <w:color w:val="auto"/>
          <w:highlight w:val="white"/>
        </w:rPr>
        <w:t>Стандарт считается внедренным в Субъекте на конец отчетного месяца согласно данным Системы при подтверждении Субъектом достижения целевого значения по количеству внедренных инструментов Стандарта в соответствии с приведенным планом-графиком.</w:t>
      </w:r>
    </w:p>
    <w:p>
      <w:pPr>
        <w:pStyle w:val="14"/>
        <w:numPr>
          <w:ilvl w:val="1"/>
          <w:numId w:val="142"/>
        </w:numPr>
        <w:shd w:val="clear" w:color="auto" w:fill="auto"/>
        <w:tabs>
          <w:tab w:val="clear" w:pos="709"/>
          <w:tab w:val="left" w:pos="425" w:leader="none"/>
        </w:tabs>
        <w:spacing w:before="0" w:after="102"/>
        <w:ind w:hanging="0" w:left="0"/>
        <w:rPr>
          <w:color w:val="auto"/>
          <w:highlight w:val="white"/>
        </w:rPr>
      </w:pPr>
      <w:r>
        <w:rPr>
          <w:color w:val="auto"/>
        </w:rPr>
        <w:t xml:space="preserve"> </w:t>
      </w:r>
      <w:r>
        <w:rPr>
          <w:color w:val="auto"/>
        </w:rPr>
        <w:t xml:space="preserve">Для Субъектов (кроме регионов: Донецкая Народная Республика, </w:t>
      </w:r>
      <w:r>
        <w:rPr>
          <w:color w:val="auto"/>
          <w:highlight w:val="white"/>
        </w:rPr>
        <w:t>Луганская Народная Республика, Херсонская область, Запорожская область):</w:t>
      </w:r>
    </w:p>
    <w:p>
      <w:pPr>
        <w:pStyle w:val="Style26"/>
        <w:shd w:val="clear" w:color="auto" w:fill="auto"/>
        <w:spacing w:before="170" w:after="102"/>
        <w:rPr>
          <w:color w:val="auto"/>
          <w:highlight w:val="white"/>
        </w:rPr>
      </w:pPr>
      <w:r>
        <w:rPr>
          <w:b w:val="false"/>
          <w:bCs w:val="false"/>
          <w:color w:val="auto"/>
          <w:highlight w:val="white"/>
        </w:rPr>
        <w:t>Ежегодный план-график внедрения инструментов Стандарта</w:t>
      </w:r>
    </w:p>
    <w:p>
      <w:pPr>
        <w:pStyle w:val="Style26"/>
        <w:shd w:val="clear" w:color="auto" w:fill="auto"/>
        <w:spacing w:before="0" w:after="102"/>
        <w:jc w:val="right"/>
        <w:rPr>
          <w:b w:val="false"/>
          <w:bCs w:val="false"/>
          <w:color w:val="auto"/>
          <w:highlight w:val="white"/>
        </w:rPr>
      </w:pPr>
      <w:r>
        <w:rPr>
          <w:b w:val="false"/>
          <w:bCs w:val="false"/>
          <w:color w:val="auto"/>
          <w:sz w:val="20"/>
          <w:szCs w:val="20"/>
          <w:highlight w:val="white"/>
        </w:rPr>
        <w:t>Таблица 1</w:t>
      </w:r>
    </w:p>
    <w:tbl>
      <w:tblPr>
        <w:tblW w:w="10131" w:type="dxa"/>
        <w:jc w:val="left"/>
        <w:tblInd w:w="0" w:type="dxa"/>
        <w:tblLayout w:type="fixed"/>
        <w:tblCellMar>
          <w:top w:w="0" w:type="dxa"/>
          <w:left w:w="5" w:type="dxa"/>
          <w:bottom w:w="0" w:type="dxa"/>
          <w:right w:w="5" w:type="dxa"/>
        </w:tblCellMar>
        <w:tblLook w:val="04a0" w:noHBand="0" w:noVBand="1" w:firstColumn="1" w:lastRow="0" w:lastColumn="0" w:firstRow="1"/>
      </w:tblPr>
      <w:tblGrid>
        <w:gridCol w:w="5210"/>
        <w:gridCol w:w="992"/>
        <w:gridCol w:w="993"/>
        <w:gridCol w:w="990"/>
        <w:gridCol w:w="992"/>
        <w:gridCol w:w="953"/>
      </w:tblGrid>
      <w:tr>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highlight w:val="white"/>
              </w:rPr>
            </w:pPr>
            <w:r>
              <w:rPr>
                <w:rFonts w:cs="Times New Roman" w:ascii="Times New Roman" w:hAnsi="Times New Roman"/>
                <w:color w:val="auto"/>
                <w:sz w:val="20"/>
                <w:szCs w:val="20"/>
              </w:rPr>
              <w:t>Показатель / Год</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rPr>
            </w:pPr>
            <w:r>
              <w:rPr>
                <w:rFonts w:cs="Times New Roman" w:ascii="Times New Roman" w:hAnsi="Times New Roman"/>
                <w:color w:val="auto"/>
                <w:sz w:val="20"/>
                <w:szCs w:val="20"/>
              </w:rPr>
              <w:t>2026</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highlight w:val="white"/>
              </w:rPr>
            </w:pPr>
            <w:r>
              <w:rPr>
                <w:rFonts w:cs="Times New Roman" w:ascii="Times New Roman" w:hAnsi="Times New Roman"/>
                <w:color w:val="auto"/>
                <w:sz w:val="20"/>
                <w:szCs w:val="20"/>
              </w:rPr>
              <w:t>2027</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highlight w:val="white"/>
              </w:rPr>
            </w:pPr>
            <w:r>
              <w:rPr>
                <w:rFonts w:cs="Times New Roman" w:ascii="Times New Roman" w:hAnsi="Times New Roman"/>
                <w:color w:val="auto"/>
                <w:sz w:val="20"/>
                <w:szCs w:val="20"/>
              </w:rPr>
              <w:t>2028</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highlight w:val="white"/>
              </w:rPr>
            </w:pPr>
            <w:r>
              <w:rPr>
                <w:rFonts w:cs="Times New Roman" w:ascii="Times New Roman" w:hAnsi="Times New Roman"/>
                <w:color w:val="auto"/>
                <w:sz w:val="20"/>
                <w:szCs w:val="20"/>
              </w:rPr>
              <w:t>2029</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highlight w:val="white"/>
              </w:rPr>
            </w:pPr>
            <w:r>
              <w:rPr>
                <w:rFonts w:cs="Times New Roman" w:ascii="Times New Roman" w:hAnsi="Times New Roman"/>
                <w:color w:val="auto"/>
                <w:sz w:val="20"/>
                <w:szCs w:val="20"/>
              </w:rPr>
              <w:t>2030</w:t>
            </w:r>
          </w:p>
        </w:tc>
      </w:tr>
      <w:tr>
        <w:trPr>
          <w:trHeight w:val="357" w:hRule="atLeast"/>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Количество внедренных инструментов Стандарта, ед.</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13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13</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13</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13</w:t>
            </w:r>
          </w:p>
        </w:tc>
      </w:tr>
    </w:tbl>
    <w:p>
      <w:pPr>
        <w:pStyle w:val="Style26"/>
        <w:shd w:val="clear" w:color="auto" w:fill="auto"/>
        <w:spacing w:before="170" w:after="102"/>
        <w:rPr>
          <w:color w:val="auto"/>
          <w:highlight w:val="white"/>
        </w:rPr>
      </w:pPr>
      <w:r>
        <w:rPr>
          <w:b w:val="false"/>
          <w:bCs w:val="false"/>
          <w:color w:val="auto"/>
          <w:highlight w:val="white"/>
        </w:rPr>
        <w:t>Помесячный план-график внедрения инструментов Стандарта</w:t>
      </w:r>
    </w:p>
    <w:p>
      <w:pPr>
        <w:pStyle w:val="Style26"/>
        <w:shd w:val="clear" w:color="auto" w:fill="auto"/>
        <w:spacing w:before="0" w:after="102"/>
        <w:jc w:val="right"/>
        <w:rPr>
          <w:b w:val="false"/>
          <w:bCs w:val="false"/>
          <w:color w:val="auto"/>
          <w:highlight w:val="white"/>
        </w:rPr>
      </w:pPr>
      <w:r>
        <w:rPr>
          <w:b w:val="false"/>
          <w:bCs w:val="false"/>
          <w:color w:val="auto"/>
          <w:sz w:val="20"/>
          <w:szCs w:val="20"/>
          <w:highlight w:val="white"/>
        </w:rPr>
        <w:t>Таблица 2</w:t>
      </w:r>
    </w:p>
    <w:tbl>
      <w:tblPr>
        <w:tblW w:w="10059"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485"/>
        <w:gridCol w:w="709"/>
        <w:gridCol w:w="711"/>
        <w:gridCol w:w="709"/>
        <w:gridCol w:w="709"/>
        <w:gridCol w:w="708"/>
        <w:gridCol w:w="709"/>
        <w:gridCol w:w="709"/>
        <w:gridCol w:w="709"/>
        <w:gridCol w:w="711"/>
        <w:gridCol w:w="709"/>
        <w:gridCol w:w="708"/>
        <w:gridCol w:w="772"/>
      </w:tblGrid>
      <w:tr>
        <w:trPr>
          <w:trHeight w:val="317" w:hRule="atLeast"/>
        </w:trPr>
        <w:tc>
          <w:tcPr>
            <w:tcW w:w="1485"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Показатель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Январь</w:t>
            </w:r>
          </w:p>
        </w:tc>
        <w:tc>
          <w:tcPr>
            <w:tcW w:w="711"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Февраль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Март</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Апрель</w:t>
            </w:r>
          </w:p>
        </w:tc>
        <w:tc>
          <w:tcPr>
            <w:tcW w:w="70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Май</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Июнь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Июль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Август</w:t>
            </w:r>
          </w:p>
        </w:tc>
        <w:tc>
          <w:tcPr>
            <w:tcW w:w="711"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Сентябрь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Октябрь</w:t>
            </w:r>
          </w:p>
        </w:tc>
        <w:tc>
          <w:tcPr>
            <w:tcW w:w="70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Ноябрь</w:t>
            </w:r>
          </w:p>
        </w:tc>
        <w:tc>
          <w:tcPr>
            <w:tcW w:w="772" w:type="dxa"/>
            <w:tcBorders>
              <w:top w:val="single" w:sz="4" w:space="0" w:color="000000"/>
              <w:left w:val="single" w:sz="4" w:space="0" w:color="000000"/>
              <w:righ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Декабрь</w:t>
            </w:r>
          </w:p>
        </w:tc>
      </w:tr>
      <w:tr>
        <w:trPr>
          <w:trHeight w:val="699" w:hRule="atLeast"/>
        </w:trPr>
        <w:tc>
          <w:tcPr>
            <w:tcW w:w="1485"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left"/>
              <w:rPr>
                <w:color w:val="auto"/>
                <w:sz w:val="16"/>
                <w:szCs w:val="16"/>
                <w:highlight w:val="white"/>
              </w:rPr>
            </w:pPr>
            <w:r>
              <w:rPr>
                <w:color w:val="auto"/>
                <w:sz w:val="16"/>
                <w:szCs w:val="16"/>
                <w:highlight w:val="white"/>
              </w:rPr>
              <w:t>Количество внедренных инструментов Стандарта</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2</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3</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4</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5</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6</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7</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8</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9</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11</w:t>
            </w:r>
          </w:p>
        </w:tc>
        <w:tc>
          <w:tcPr>
            <w:tcW w:w="7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highlight w:val="white"/>
              </w:rPr>
              <w:t>13</w:t>
            </w:r>
          </w:p>
        </w:tc>
      </w:tr>
    </w:tbl>
    <w:p>
      <w:pPr>
        <w:pStyle w:val="Normal"/>
        <w:ind w:hanging="432" w:left="792"/>
        <w:rPr>
          <w:color w:val="auto"/>
        </w:rPr>
      </w:pPr>
      <w:r>
        <w:rPr>
          <w:color w:val="auto"/>
        </w:rPr>
      </w:r>
    </w:p>
    <w:p>
      <w:pPr>
        <w:pStyle w:val="14"/>
        <w:numPr>
          <w:ilvl w:val="1"/>
          <w:numId w:val="142"/>
        </w:numPr>
        <w:shd w:val="clear" w:color="auto" w:fill="auto"/>
        <w:tabs>
          <w:tab w:val="clear" w:pos="709"/>
          <w:tab w:val="left" w:pos="425" w:leader="none"/>
        </w:tabs>
        <w:spacing w:before="0" w:after="102"/>
        <w:ind w:hanging="0" w:left="0"/>
        <w:rPr>
          <w:color w:val="auto"/>
          <w:highlight w:val="white"/>
        </w:rPr>
      </w:pPr>
      <w:r>
        <w:rPr>
          <w:color w:val="auto"/>
          <w:highlight w:val="white"/>
        </w:rPr>
        <w:t xml:space="preserve"> </w:t>
      </w:r>
      <w:r>
        <w:rPr>
          <w:color w:val="auto"/>
          <w:highlight w:val="white"/>
        </w:rPr>
        <w:t>Для Субъектов: Донецкая Народная Республика, Луганская Народная Республика, Херсонская область, Запорожская область:</w:t>
      </w:r>
    </w:p>
    <w:p>
      <w:pPr>
        <w:pStyle w:val="Style26"/>
        <w:shd w:val="clear" w:color="auto" w:fill="auto"/>
        <w:spacing w:before="170" w:after="102"/>
        <w:rPr>
          <w:b w:val="false"/>
          <w:bCs w:val="false"/>
          <w:color w:val="auto"/>
          <w:highlight w:val="white"/>
        </w:rPr>
      </w:pPr>
      <w:r>
        <w:rPr>
          <w:b w:val="false"/>
          <w:bCs w:val="false"/>
          <w:color w:val="auto"/>
          <w:highlight w:val="white"/>
        </w:rPr>
        <w:t>Ежегодный план-график внедрения инструментов Стандарта</w:t>
      </w:r>
    </w:p>
    <w:p>
      <w:pPr>
        <w:pStyle w:val="Style26"/>
        <w:shd w:val="clear" w:color="auto" w:fill="auto"/>
        <w:spacing w:before="0" w:after="102"/>
        <w:jc w:val="right"/>
        <w:rPr>
          <w:b w:val="false"/>
          <w:bCs w:val="false"/>
          <w:color w:val="auto"/>
          <w:highlight w:val="white"/>
        </w:rPr>
      </w:pPr>
      <w:r>
        <w:rPr>
          <w:b w:val="false"/>
          <w:bCs w:val="false"/>
          <w:color w:val="auto"/>
          <w:sz w:val="20"/>
          <w:szCs w:val="20"/>
          <w:highlight w:val="white"/>
        </w:rPr>
        <w:t>Таблица 3</w:t>
      </w:r>
    </w:p>
    <w:tbl>
      <w:tblPr>
        <w:tblW w:w="10131" w:type="dxa"/>
        <w:jc w:val="left"/>
        <w:tblInd w:w="0" w:type="dxa"/>
        <w:tblLayout w:type="fixed"/>
        <w:tblCellMar>
          <w:top w:w="0" w:type="dxa"/>
          <w:left w:w="5" w:type="dxa"/>
          <w:bottom w:w="0" w:type="dxa"/>
          <w:right w:w="5" w:type="dxa"/>
        </w:tblCellMar>
        <w:tblLook w:val="04a0" w:noHBand="0" w:noVBand="1" w:firstColumn="1" w:lastRow="0" w:lastColumn="0" w:firstRow="1"/>
      </w:tblPr>
      <w:tblGrid>
        <w:gridCol w:w="5210"/>
        <w:gridCol w:w="992"/>
        <w:gridCol w:w="993"/>
        <w:gridCol w:w="990"/>
        <w:gridCol w:w="992"/>
        <w:gridCol w:w="953"/>
      </w:tblGrid>
      <w:tr>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Регион (количество внедренных инструментов Стандарта, ед.) / Год</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rPr>
            </w:pPr>
            <w:r>
              <w:rPr>
                <w:rFonts w:cs="Times New Roman" w:ascii="Times New Roman" w:hAnsi="Times New Roman"/>
                <w:color w:val="auto"/>
                <w:sz w:val="20"/>
                <w:szCs w:val="20"/>
              </w:rPr>
              <w:t>2026</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2027</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2028</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2029</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2030</w:t>
            </w:r>
          </w:p>
        </w:tc>
      </w:tr>
      <w:tr>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color w:val="auto"/>
                <w:sz w:val="20"/>
                <w:szCs w:val="20"/>
                <w:highlight w:val="white"/>
              </w:rPr>
            </w:pPr>
            <w:r>
              <w:rPr>
                <w:rFonts w:cs="Times New Roman" w:ascii="Times New Roman" w:hAnsi="Times New Roman"/>
                <w:color w:val="auto"/>
                <w:sz w:val="20"/>
                <w:szCs w:val="20"/>
              </w:rPr>
              <w:t>1. Донецкая народная Республика</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10</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r>
      <w:tr>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color w:val="auto"/>
                <w:sz w:val="20"/>
                <w:szCs w:val="20"/>
                <w:highlight w:val="white"/>
              </w:rPr>
            </w:pPr>
            <w:r>
              <w:rPr>
                <w:rFonts w:cs="Times New Roman" w:ascii="Times New Roman" w:hAnsi="Times New Roman"/>
                <w:color w:val="auto"/>
                <w:sz w:val="20"/>
                <w:szCs w:val="20"/>
              </w:rPr>
              <w:t>2. Луганская народная Республика</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10</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r>
      <w:tr>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color w:val="auto"/>
                <w:sz w:val="20"/>
                <w:szCs w:val="20"/>
                <w:highlight w:val="white"/>
              </w:rPr>
            </w:pPr>
            <w:r>
              <w:rPr>
                <w:rFonts w:cs="Times New Roman" w:ascii="Times New Roman" w:hAnsi="Times New Roman"/>
                <w:color w:val="auto"/>
                <w:sz w:val="20"/>
                <w:szCs w:val="20"/>
              </w:rPr>
              <w:t>3. Херсонская область</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10</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r>
      <w:tr>
        <w:trPr>
          <w:trHeight w:val="230" w:hRule="atLeast"/>
        </w:trPr>
        <w:tc>
          <w:tcPr>
            <w:tcW w:w="521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color w:val="auto"/>
                <w:sz w:val="20"/>
                <w:szCs w:val="20"/>
                <w:highlight w:val="white"/>
              </w:rPr>
            </w:pPr>
            <w:r>
              <w:rPr>
                <w:rFonts w:cs="Times New Roman" w:ascii="Times New Roman" w:hAnsi="Times New Roman"/>
                <w:color w:val="auto"/>
                <w:sz w:val="20"/>
                <w:szCs w:val="20"/>
              </w:rPr>
              <w:t>4. Запорожская область</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10</w:t>
            </w:r>
          </w:p>
        </w:tc>
        <w:tc>
          <w:tcPr>
            <w:tcW w:w="95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color w:val="auto"/>
                <w:sz w:val="20"/>
                <w:szCs w:val="20"/>
                <w:highlight w:val="white"/>
              </w:rPr>
            </w:pPr>
            <w:r>
              <w:rPr>
                <w:rFonts w:cs="Times New Roman" w:ascii="Times New Roman" w:hAnsi="Times New Roman"/>
                <w:color w:val="auto"/>
                <w:sz w:val="20"/>
                <w:szCs w:val="20"/>
              </w:rPr>
              <w:t>13</w:t>
            </w:r>
          </w:p>
        </w:tc>
      </w:tr>
    </w:tbl>
    <w:p>
      <w:pPr>
        <w:pStyle w:val="Style26"/>
        <w:shd w:val="clear" w:color="auto" w:fill="auto"/>
        <w:spacing w:before="170" w:after="102"/>
        <w:rPr>
          <w:b w:val="false"/>
          <w:bCs w:val="false"/>
          <w:color w:val="auto"/>
          <w:highlight w:val="white"/>
        </w:rPr>
      </w:pPr>
      <w:r>
        <w:rPr>
          <w:b w:val="false"/>
          <w:bCs w:val="false"/>
          <w:color w:val="auto"/>
          <w:highlight w:val="white"/>
        </w:rPr>
        <w:t>Помесячный план-график внедрения инструментов Стандарта</w:t>
      </w:r>
    </w:p>
    <w:p>
      <w:pPr>
        <w:pStyle w:val="Style26"/>
        <w:shd w:val="clear" w:color="auto" w:fill="auto"/>
        <w:spacing w:before="0" w:after="102"/>
        <w:jc w:val="right"/>
        <w:rPr>
          <w:b w:val="false"/>
          <w:bCs w:val="false"/>
          <w:color w:val="auto"/>
          <w:highlight w:val="white"/>
        </w:rPr>
      </w:pPr>
      <w:r>
        <w:rPr>
          <w:b w:val="false"/>
          <w:bCs w:val="false"/>
          <w:color w:val="auto"/>
          <w:sz w:val="20"/>
          <w:szCs w:val="20"/>
          <w:highlight w:val="white"/>
        </w:rPr>
        <w:t>Таблица 4</w:t>
      </w:r>
    </w:p>
    <w:tbl>
      <w:tblPr>
        <w:tblW w:w="1006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628"/>
        <w:gridCol w:w="709"/>
        <w:gridCol w:w="711"/>
        <w:gridCol w:w="709"/>
        <w:gridCol w:w="708"/>
        <w:gridCol w:w="709"/>
        <w:gridCol w:w="568"/>
        <w:gridCol w:w="709"/>
        <w:gridCol w:w="708"/>
        <w:gridCol w:w="709"/>
        <w:gridCol w:w="711"/>
        <w:gridCol w:w="709"/>
        <w:gridCol w:w="771"/>
      </w:tblGrid>
      <w:tr>
        <w:trPr>
          <w:trHeight w:val="317" w:hRule="atLeast"/>
        </w:trPr>
        <w:tc>
          <w:tcPr>
            <w:tcW w:w="162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Показатель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Январь</w:t>
            </w:r>
          </w:p>
        </w:tc>
        <w:tc>
          <w:tcPr>
            <w:tcW w:w="711"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Февраль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Март</w:t>
            </w:r>
          </w:p>
        </w:tc>
        <w:tc>
          <w:tcPr>
            <w:tcW w:w="70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Апрель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Май</w:t>
            </w:r>
          </w:p>
        </w:tc>
        <w:tc>
          <w:tcPr>
            <w:tcW w:w="56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Июнь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Июль</w:t>
            </w:r>
          </w:p>
        </w:tc>
        <w:tc>
          <w:tcPr>
            <w:tcW w:w="708"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Август</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Сентябрь</w:t>
            </w:r>
          </w:p>
        </w:tc>
        <w:tc>
          <w:tcPr>
            <w:tcW w:w="711"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Октябрь</w:t>
            </w:r>
          </w:p>
        </w:tc>
        <w:tc>
          <w:tcPr>
            <w:tcW w:w="709" w:type="dxa"/>
            <w:tcBorders>
              <w:top w:val="single" w:sz="4" w:space="0" w:color="000000"/>
              <w:lef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Ноябрь</w:t>
            </w:r>
          </w:p>
        </w:tc>
        <w:tc>
          <w:tcPr>
            <w:tcW w:w="771" w:type="dxa"/>
            <w:tcBorders>
              <w:top w:val="single" w:sz="4" w:space="0" w:color="000000"/>
              <w:left w:val="single" w:sz="4" w:space="0" w:color="000000"/>
              <w:right w:val="single" w:sz="4" w:space="0" w:color="000000"/>
            </w:tcBorders>
            <w:shd w:color="FFFFFF" w:fill="FFFFFF" w:val="clear"/>
            <w:vAlign w:val="center"/>
          </w:tcPr>
          <w:p>
            <w:pPr>
              <w:pStyle w:val="Style27"/>
              <w:shd w:val="clear" w:color="auto" w:fill="auto"/>
              <w:spacing w:before="0" w:after="0"/>
              <w:jc w:val="center"/>
              <w:rPr>
                <w:color w:val="auto"/>
                <w:sz w:val="12"/>
                <w:szCs w:val="12"/>
                <w:highlight w:val="white"/>
              </w:rPr>
            </w:pPr>
            <w:r>
              <w:rPr>
                <w:color w:val="auto"/>
                <w:sz w:val="12"/>
                <w:szCs w:val="12"/>
                <w:highlight w:val="white"/>
              </w:rPr>
              <w:t>Декабрь</w:t>
            </w:r>
          </w:p>
        </w:tc>
      </w:tr>
      <w:tr>
        <w:trPr>
          <w:trHeight w:val="699" w:hRule="atLeast"/>
        </w:trPr>
        <w:tc>
          <w:tcPr>
            <w:tcW w:w="162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left"/>
              <w:rPr>
                <w:color w:val="auto"/>
                <w:sz w:val="16"/>
                <w:szCs w:val="16"/>
                <w:highlight w:val="white"/>
              </w:rPr>
            </w:pPr>
            <w:r>
              <w:rPr>
                <w:color w:val="auto"/>
                <w:sz w:val="16"/>
                <w:szCs w:val="16"/>
                <w:highlight w:val="white"/>
              </w:rPr>
              <w:t>1. Количество внедренных инструментов Стандарта в первый год внедрения Стандарта</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rPr>
            </w:pPr>
            <w:r>
              <w:rPr>
                <w:color w:val="auto"/>
                <w:sz w:val="16"/>
                <w:szCs w:val="16"/>
              </w:rPr>
              <w:t>1</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rPr>
            </w:pPr>
            <w:r>
              <w:rPr>
                <w:color w:val="auto"/>
                <w:sz w:val="16"/>
                <w:szCs w:val="16"/>
              </w:rPr>
              <w:t>1</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2</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3</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4</w:t>
            </w:r>
          </w:p>
        </w:tc>
        <w:tc>
          <w:tcPr>
            <w:tcW w:w="56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5</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6</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7</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8</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9</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9</w:t>
            </w:r>
          </w:p>
        </w:tc>
        <w:tc>
          <w:tcPr>
            <w:tcW w:w="77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10</w:t>
            </w:r>
          </w:p>
        </w:tc>
      </w:tr>
      <w:tr>
        <w:trPr>
          <w:trHeight w:val="699" w:hRule="atLeast"/>
        </w:trPr>
        <w:tc>
          <w:tcPr>
            <w:tcW w:w="162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left"/>
              <w:rPr>
                <w:color w:val="auto"/>
                <w:sz w:val="16"/>
                <w:szCs w:val="16"/>
                <w:highlight w:val="white"/>
              </w:rPr>
            </w:pPr>
            <w:r>
              <w:rPr>
                <w:color w:val="auto"/>
                <w:sz w:val="16"/>
                <w:szCs w:val="16"/>
                <w:highlight w:val="white"/>
              </w:rPr>
              <w:t>2. Количество внедренных инструментов Стандарта во второй год внедрения Стандарта и далее</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2</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3</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4</w:t>
            </w:r>
          </w:p>
        </w:tc>
        <w:tc>
          <w:tcPr>
            <w:tcW w:w="56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5</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6</w:t>
            </w:r>
          </w:p>
        </w:tc>
        <w:tc>
          <w:tcPr>
            <w:tcW w:w="708"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7</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8</w:t>
            </w:r>
          </w:p>
        </w:tc>
        <w:tc>
          <w:tcPr>
            <w:tcW w:w="711"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9</w:t>
            </w:r>
          </w:p>
        </w:tc>
        <w:tc>
          <w:tcPr>
            <w:tcW w:w="709" w:type="dxa"/>
            <w:tcBorders>
              <w:top w:val="single" w:sz="4" w:space="0" w:color="000000"/>
              <w:left w:val="single" w:sz="4" w:space="0" w:color="000000"/>
              <w:bottom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rPr>
              <w:t>11</w:t>
            </w:r>
          </w:p>
        </w:tc>
        <w:tc>
          <w:tcPr>
            <w:tcW w:w="77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Style27"/>
              <w:shd w:val="clear" w:color="auto" w:fill="auto"/>
              <w:spacing w:before="0" w:after="0"/>
              <w:jc w:val="center"/>
              <w:rPr>
                <w:color w:val="auto"/>
                <w:sz w:val="16"/>
                <w:szCs w:val="16"/>
                <w:highlight w:val="white"/>
              </w:rPr>
            </w:pPr>
            <w:r>
              <w:rPr>
                <w:color w:val="auto"/>
                <w:sz w:val="16"/>
                <w:szCs w:val="16"/>
                <w:highlight w:val="white"/>
              </w:rPr>
              <w:t>13</w:t>
            </w:r>
          </w:p>
        </w:tc>
      </w:tr>
    </w:tbl>
    <w:p>
      <w:pPr>
        <w:pStyle w:val="Normal"/>
        <w:rPr>
          <w:rFonts w:ascii="Times New Roman" w:hAnsi="Times New Roman" w:cs="Times New Roman"/>
          <w:color w:val="auto"/>
          <w:highlight w:val="white"/>
        </w:rPr>
      </w:pPr>
      <w:r>
        <w:rPr>
          <w:rFonts w:cs="Times New Roman" w:ascii="Times New Roman" w:hAnsi="Times New Roman"/>
          <w:color w:val="auto"/>
          <w:highlight w:val="white"/>
        </w:rPr>
      </w:r>
    </w:p>
    <w:p>
      <w:pPr>
        <w:pStyle w:val="Normal"/>
        <w:rPr>
          <w:rFonts w:ascii="Times New Roman" w:hAnsi="Times New Roman" w:cs="Times New Roman"/>
          <w:color w:val="auto"/>
          <w:highlight w:val="white"/>
        </w:rPr>
      </w:pPr>
      <w:r>
        <w:rPr>
          <w:rFonts w:cs="Times New Roman" w:ascii="Times New Roman" w:hAnsi="Times New Roman"/>
          <w:color w:val="auto"/>
          <w:highlight w:val="white"/>
        </w:rPr>
      </w:r>
      <w:r>
        <w:br w:type="page"/>
      </w:r>
    </w:p>
    <w:p>
      <w:pPr>
        <w:pStyle w:val="14"/>
        <w:numPr>
          <w:ilvl w:val="0"/>
          <w:numId w:val="51"/>
        </w:numPr>
        <w:shd w:val="clear" w:color="auto" w:fill="auto"/>
        <w:spacing w:before="0" w:after="102"/>
        <w:ind w:hanging="425" w:left="425"/>
        <w:rPr>
          <w:b/>
          <w:bCs/>
          <w:color w:val="auto"/>
          <w:highlight w:val="white"/>
        </w:rPr>
      </w:pPr>
      <w:r>
        <w:rPr>
          <w:b/>
          <w:bCs/>
          <w:color w:val="auto"/>
        </w:rPr>
        <w:t>Методика р</w:t>
      </w:r>
      <w:r>
        <w:rPr>
          <w:b/>
          <w:bCs/>
          <w:color w:val="auto"/>
          <w:highlight w:val="white"/>
        </w:rPr>
        <w:t>асчета прироста публикаций и размещений в средствах массовой информации субъектов Российской Федерации</w:t>
      </w:r>
    </w:p>
    <w:p>
      <w:pPr>
        <w:pStyle w:val="Normal"/>
        <w:tabs>
          <w:tab w:val="clear" w:pos="709"/>
          <w:tab w:val="left" w:pos="425" w:leader="none"/>
        </w:tabs>
        <w:spacing w:before="0" w:after="170"/>
        <w:jc w:val="both"/>
        <w:rPr>
          <w:rFonts w:ascii="Times New Roman" w:hAnsi="Times New Roman" w:cs="Times New Roman"/>
          <w:color w:val="auto"/>
          <w:sz w:val="28"/>
          <w:szCs w:val="28"/>
          <w:highlight w:val="white"/>
        </w:rPr>
      </w:pPr>
      <w:r>
        <w:rPr>
          <w:rFonts w:eastAsia="Arial" w:cs="Times New Roman" w:ascii="Times New Roman" w:hAnsi="Times New Roman"/>
          <w:color w:val="auto"/>
          <w:highlight w:val="white"/>
        </w:rPr>
        <w:t>2.1.</w:t>
        <w:tab/>
        <w:t xml:space="preserve">Годовой прирост публикаций </w:t>
      </w:r>
      <w:r>
        <w:rPr>
          <w:rFonts w:cs="Times New Roman" w:ascii="Times New Roman" w:hAnsi="Times New Roman"/>
          <w:color w:val="auto"/>
          <w:highlight w:val="white"/>
        </w:rPr>
        <w:t>и размещений в средствах массовой информации Субъекта (печатных, онлайн или телевидение) за отчетный год определяется по формуле:</w:t>
      </w:r>
    </w:p>
    <w:p>
      <w:pPr>
        <w:pStyle w:val="Normal"/>
        <w:spacing w:before="170" w:after="0"/>
        <w:jc w:val="center"/>
        <w:rPr>
          <w:color w:val="auto"/>
        </w:rPr>
      </w:pPr>
      <w:r>
        <w:rPr/>
      </w:r>
      <m:oMath xmlns:m="http://schemas.openxmlformats.org/officeDocument/2006/math">
        <m:r>
          <w:rPr>
            <w:rFonts w:ascii="Cambria Math" w:hAnsi="Cambria Math"/>
          </w:rPr>
          <m:t xml:space="preserve">ГП</m:t>
        </m:r>
        <m:r>
          <w:rPr>
            <w:rFonts w:ascii="Cambria Math" w:hAnsi="Cambria Math"/>
          </w:rPr>
          <m:t xml:space="preserve">=</m:t>
        </m:r>
        <m:f>
          <m:num>
            <m:sSub>
              <m:e>
                <m:r>
                  <w:rPr>
                    <w:rFonts w:ascii="Cambria Math" w:hAnsi="Cambria Math"/>
                  </w:rPr>
                  <m:t xml:space="preserve">П</m:t>
                </m:r>
              </m:e>
              <m:sub>
                <m:r>
                  <w:rPr>
                    <w:rFonts w:ascii="Cambria Math" w:hAnsi="Cambria Math"/>
                  </w:rPr>
                  <m:t xml:space="preserve">i</m:t>
                </m:r>
              </m:sub>
            </m:sSub>
            <m:r>
              <w:rPr>
                <w:rFonts w:ascii="Cambria Math" w:hAnsi="Cambria Math"/>
              </w:rPr>
              <m:t xml:space="preserve">×</m:t>
            </m:r>
            <m:r>
              <w:rPr>
                <w:rFonts w:ascii="Cambria Math" w:hAnsi="Cambria Math"/>
              </w:rPr>
              <m:t xml:space="preserve">100</m:t>
            </m:r>
            <m:r>
              <m:rPr>
                <m:lit/>
                <m:nor/>
              </m:rPr>
              <w:rPr>
                <w:rFonts w:ascii="Cambria Math" w:hAnsi="Cambria Math"/>
              </w:rPr>
              <m:t xml:space="preserve">%</m:t>
            </m:r>
          </m:num>
          <m:den>
            <m:sSub>
              <m:e>
                <m:r>
                  <w:rPr>
                    <w:rFonts w:ascii="Cambria Math" w:hAnsi="Cambria Math"/>
                  </w:rPr>
                  <m:t xml:space="preserve">П</m:t>
                </m:r>
              </m:e>
              <m:sub>
                <m:r>
                  <w:rPr>
                    <w:rFonts w:ascii="Cambria Math" w:hAnsi="Cambria Math"/>
                  </w:rPr>
                  <m:t xml:space="preserve">i</m:t>
                </m:r>
                <m:r>
                  <w:rPr>
                    <w:rFonts w:ascii="Cambria Math" w:hAnsi="Cambria Math"/>
                  </w:rPr>
                  <m:t xml:space="preserve">−</m:t>
                </m:r>
                <m:r>
                  <w:rPr>
                    <w:rFonts w:ascii="Cambria Math" w:hAnsi="Cambria Math"/>
                  </w:rPr>
                  <m:t xml:space="preserve">1</m:t>
                </m:r>
              </m:sub>
            </m:sSub>
          </m:den>
        </m:f>
        <m:r>
          <w:rPr>
            <w:rFonts w:ascii="Cambria Math" w:hAnsi="Cambria Math"/>
          </w:rPr>
          <m:t xml:space="preserve">−</m:t>
        </m:r>
        <m:r>
          <w:rPr>
            <w:rFonts w:ascii="Cambria Math" w:hAnsi="Cambria Math"/>
          </w:rPr>
          <m:t xml:space="preserve">100</m:t>
        </m:r>
        <m:r>
          <m:rPr>
            <m:lit/>
            <m:nor/>
          </m:rPr>
          <w:rPr>
            <w:rFonts w:ascii="Cambria Math" w:hAnsi="Cambria Math"/>
          </w:rPr>
          <m:t xml:space="preserve">%</m:t>
        </m:r>
      </m:oMath>
      <w:r>
        <w:rPr>
          <w:color w:val="auto"/>
        </w:rPr>
        <w:t>,</w:t>
      </w:r>
    </w:p>
    <w:p>
      <w:pPr>
        <w:pStyle w:val="Normal"/>
        <w:spacing w:before="170" w:after="0"/>
        <w:rPr>
          <w:rFonts w:ascii="Times New Roman" w:hAnsi="Times New Roman" w:cs="Times New Roman"/>
          <w:color w:val="auto"/>
          <w:highlight w:val="white"/>
        </w:rPr>
      </w:pPr>
      <w:r>
        <w:rPr>
          <w:rFonts w:eastAsia="Arial" w:cs="Times New Roman" w:ascii="Times New Roman" w:hAnsi="Times New Roman"/>
          <w:color w:val="auto"/>
          <w:highlight w:val="white"/>
        </w:rPr>
        <w:t xml:space="preserve">где: </w:t>
      </w:r>
    </w:p>
    <w:p>
      <w:pPr>
        <w:pStyle w:val="Normal"/>
        <w:rPr>
          <w:rFonts w:ascii="Times New Roman" w:hAnsi="Times New Roman" w:cs="Times New Roman"/>
          <w:color w:val="auto"/>
          <w:highlight w:val="white"/>
        </w:rPr>
      </w:pPr>
      <w:r>
        <w:rPr/>
      </w:r>
      <m:oMath xmlns:m="http://schemas.openxmlformats.org/officeDocument/2006/math">
        <m:r>
          <w:rPr>
            <w:rFonts w:ascii="Cambria Math" w:hAnsi="Cambria Math"/>
          </w:rPr>
          <m:t xml:space="preserve">ГП</m:t>
        </m:r>
      </m:oMath>
      <w:r>
        <w:rPr>
          <w:rFonts w:eastAsia="Arial" w:cs="Times New Roman" w:ascii="Times New Roman" w:hAnsi="Times New Roman"/>
          <w:color w:val="auto"/>
          <w:highlight w:val="white"/>
        </w:rPr>
        <w:t xml:space="preserve"> </w:t>
      </w:r>
      <w:r>
        <w:rPr>
          <w:rFonts w:eastAsia="Arial" w:cs="Times New Roman" w:ascii="Times New Roman" w:hAnsi="Times New Roman"/>
          <w:color w:val="auto"/>
          <w:highlight w:val="white"/>
        </w:rPr>
        <w:tab/>
        <w:t>– годовой прирост публикаций (%)</w:t>
      </w:r>
    </w:p>
    <w:p>
      <w:pPr>
        <w:pStyle w:val="Normal"/>
        <w:rPr>
          <w:rFonts w:ascii="Times New Roman" w:hAnsi="Times New Roman" w:cs="Times New Roman"/>
          <w:color w:val="auto"/>
          <w:highlight w:val="white"/>
        </w:rPr>
      </w:pPr>
      <w:r>
        <w:rPr/>
      </w:r>
      <m:oMath xmlns:m="http://schemas.openxmlformats.org/officeDocument/2006/math">
        <m:sSub>
          <m:e>
            <m:r>
              <w:rPr>
                <w:rFonts w:ascii="Cambria Math" w:hAnsi="Cambria Math"/>
              </w:rPr>
              <m:t xml:space="preserve">П</m:t>
            </m:r>
          </m:e>
          <m:sub>
            <m:r>
              <w:rPr>
                <w:rFonts w:ascii="Cambria Math" w:hAnsi="Cambria Math"/>
              </w:rPr>
              <m:t xml:space="preserve">i</m:t>
            </m:r>
          </m:sub>
        </m:sSub>
      </m:oMath>
      <w:r>
        <w:rPr>
          <w:rFonts w:eastAsia="Arial" w:cs="Times New Roman" w:ascii="Times New Roman" w:hAnsi="Times New Roman"/>
          <w:color w:val="auto"/>
          <w:highlight w:val="white"/>
        </w:rPr>
        <w:t xml:space="preserve"> </w:t>
      </w:r>
      <w:r>
        <w:rPr>
          <w:rFonts w:eastAsia="Arial" w:cs="Times New Roman" w:ascii="Times New Roman" w:hAnsi="Times New Roman"/>
          <w:color w:val="auto"/>
          <w:highlight w:val="white"/>
        </w:rPr>
        <w:tab/>
        <w:t>– количество публикаций в отчетном году,</w:t>
      </w:r>
    </w:p>
    <w:p>
      <w:pPr>
        <w:pStyle w:val="Normal"/>
        <w:rPr>
          <w:rFonts w:ascii="Times New Roman" w:hAnsi="Times New Roman" w:cs="Times New Roman"/>
          <w:i/>
          <w:i/>
          <w:color w:val="auto"/>
          <w:sz w:val="28"/>
          <w:highlight w:val="white"/>
        </w:rPr>
      </w:pPr>
      <w:r>
        <w:rPr/>
      </w:r>
      <m:oMath xmlns:m="http://schemas.openxmlformats.org/officeDocument/2006/math">
        <m:sSub>
          <m:e>
            <m:r>
              <w:rPr>
                <w:rFonts w:ascii="Cambria Math" w:hAnsi="Cambria Math"/>
              </w:rPr>
              <m:t xml:space="preserve">П</m:t>
            </m:r>
          </m:e>
          <m:sub>
            <m:r>
              <w:rPr>
                <w:rFonts w:ascii="Cambria Math" w:hAnsi="Cambria Math"/>
              </w:rPr>
              <m:t xml:space="preserve">i</m:t>
            </m:r>
            <m:r>
              <w:rPr>
                <w:rFonts w:ascii="Cambria Math" w:hAnsi="Cambria Math"/>
              </w:rPr>
              <m:t xml:space="preserve">−</m:t>
            </m:r>
            <m:r>
              <w:rPr>
                <w:rFonts w:ascii="Cambria Math" w:hAnsi="Cambria Math"/>
              </w:rPr>
              <m:t xml:space="preserve">1</m:t>
            </m:r>
          </m:sub>
        </m:sSub>
      </m:oMath>
      <w:r>
        <w:rPr>
          <w:rFonts w:eastAsia="Arial" w:cs="Times New Roman" w:ascii="Times New Roman" w:hAnsi="Times New Roman"/>
          <w:color w:val="auto"/>
          <w:highlight w:val="white"/>
        </w:rPr>
        <w:tab/>
        <w:t>– количество публикаций в году, предшествующему отчетному году.</w:t>
      </w:r>
    </w:p>
    <w:p>
      <w:pPr>
        <w:pStyle w:val="Normal"/>
        <w:spacing w:before="170" w:after="0"/>
        <w:rPr>
          <w:rFonts w:ascii="Times New Roman" w:hAnsi="Times New Roman" w:cs="Times New Roman"/>
          <w:color w:val="auto"/>
          <w:highlight w:val="white"/>
        </w:rPr>
      </w:pPr>
      <w:r>
        <w:rPr>
          <w:rFonts w:cs="Times New Roman" w:ascii="Times New Roman" w:hAnsi="Times New Roman"/>
          <w:color w:val="auto"/>
          <w:highlight w:val="white"/>
        </w:rPr>
      </w:r>
    </w:p>
    <w:p>
      <w:pPr>
        <w:pStyle w:val="Normal"/>
        <w:tabs>
          <w:tab w:val="clear" w:pos="709"/>
          <w:tab w:val="left" w:pos="425" w:leader="none"/>
        </w:tabs>
        <w:spacing w:before="0" w:after="102"/>
        <w:jc w:val="both"/>
        <w:rPr>
          <w:rFonts w:ascii="Times New Roman" w:hAnsi="Times New Roman" w:cs="Times New Roman"/>
          <w:color w:val="auto"/>
          <w:sz w:val="28"/>
          <w:szCs w:val="28"/>
          <w:highlight w:val="white"/>
        </w:rPr>
      </w:pPr>
      <w:r>
        <w:rPr>
          <w:rFonts w:eastAsia="Times New Roman" w:cs="Times New Roman" w:ascii="Times New Roman" w:hAnsi="Times New Roman"/>
          <w:color w:val="auto"/>
          <w:highlight w:val="white"/>
        </w:rPr>
        <w:t>2.2.</w:t>
        <w:tab/>
        <w:t>К</w:t>
      </w:r>
      <w:r>
        <w:rPr>
          <w:rFonts w:eastAsia="Arial" w:cs="Times New Roman" w:ascii="Times New Roman" w:hAnsi="Times New Roman"/>
          <w:color w:val="auto"/>
          <w:highlight w:val="white"/>
        </w:rPr>
        <w:t>оличество публикаций Субъекта за расчетный период определяется</w:t>
      </w:r>
      <w:r>
        <w:rPr>
          <w:rFonts w:eastAsia="Times New Roman" w:cs="Times New Roman" w:ascii="Times New Roman" w:hAnsi="Times New Roman"/>
          <w:color w:val="auto"/>
          <w:highlight w:val="white"/>
        </w:rPr>
        <w:t xml:space="preserve"> на основе аналитических данных, полученных из систем медиааналитики (СМА), по запросу с ключевой фразой </w:t>
      </w:r>
      <w:r>
        <w:rPr>
          <w:rFonts w:eastAsia="Times New Roman" w:cs="Times New Roman" w:ascii="Times New Roman" w:hAnsi="Times New Roman"/>
          <w:b/>
          <w:color w:val="auto"/>
          <w:highlight w:val="white"/>
        </w:rPr>
        <w:t>«международная кооперация и экспорт»</w:t>
      </w:r>
      <w:r>
        <w:rPr>
          <w:rFonts w:eastAsia="Times New Roman" w:cs="Times New Roman" w:ascii="Times New Roman" w:hAnsi="Times New Roman"/>
          <w:color w:val="auto"/>
          <w:highlight w:val="white"/>
        </w:rPr>
        <w:t xml:space="preserve"> в контексте территории соответствующего Субъекта.</w:t>
      </w:r>
    </w:p>
    <w:p>
      <w:pPr>
        <w:pStyle w:val="Normal"/>
        <w:tabs>
          <w:tab w:val="clear" w:pos="709"/>
          <w:tab w:val="left" w:pos="425" w:leader="none"/>
        </w:tabs>
        <w:spacing w:before="0" w:after="102"/>
        <w:jc w:val="both"/>
        <w:rPr>
          <w:rFonts w:ascii="Times New Roman" w:hAnsi="Times New Roman" w:eastAsia="Times New Roman" w:cs="Times New Roman"/>
          <w:color w:val="auto"/>
          <w:highlight w:val="white"/>
        </w:rPr>
      </w:pPr>
      <w:r>
        <w:rPr>
          <w:rFonts w:eastAsia="Times New Roman" w:cs="Times New Roman" w:ascii="Times New Roman" w:hAnsi="Times New Roman"/>
          <w:color w:val="auto"/>
          <w:highlight w:val="white"/>
        </w:rPr>
        <w:t>2.3.</w:t>
        <w:tab/>
        <w:t>Для исключения дублирования учета публикаций с деятельностью РЭЦ при расчёте по следующим Субъектам применяются дополнительные условия запроса с оператором «И»:</w:t>
      </w:r>
    </w:p>
    <w:p>
      <w:pPr>
        <w:pStyle w:val="ListParagraph"/>
        <w:numPr>
          <w:ilvl w:val="0"/>
          <w:numId w:val="143"/>
        </w:numPr>
        <w:tabs>
          <w:tab w:val="clear" w:pos="709"/>
          <w:tab w:val="left" w:pos="425" w:leader="none"/>
        </w:tabs>
        <w:spacing w:before="0" w:after="102"/>
        <w:contextualSpacing/>
        <w:jc w:val="both"/>
        <w:rPr>
          <w:color w:val="auto"/>
        </w:rPr>
      </w:pPr>
      <w:r>
        <w:rPr>
          <w:rFonts w:eastAsia="Times New Roman" w:cs="Times New Roman" w:ascii="Times New Roman" w:hAnsi="Times New Roman"/>
          <w:color w:val="auto"/>
        </w:rPr>
        <w:t>для города Москвы – к основной фразе добавляется: «Московский экспортный центр»;</w:t>
      </w:r>
    </w:p>
    <w:p>
      <w:pPr>
        <w:pStyle w:val="ListParagraph"/>
        <w:numPr>
          <w:ilvl w:val="0"/>
          <w:numId w:val="143"/>
        </w:numPr>
        <w:tabs>
          <w:tab w:val="clear" w:pos="709"/>
          <w:tab w:val="left" w:pos="425" w:leader="none"/>
        </w:tabs>
        <w:spacing w:before="0" w:after="102"/>
        <w:contextualSpacing/>
        <w:jc w:val="both"/>
        <w:rPr>
          <w:rFonts w:ascii="Times New Roman" w:hAnsi="Times New Roman" w:eastAsia="Times New Roman" w:cs="Times New Roman"/>
          <w:color w:val="auto"/>
        </w:rPr>
      </w:pPr>
      <w:r>
        <w:rPr>
          <w:rFonts w:eastAsia="Times New Roman" w:cs="Times New Roman" w:ascii="Times New Roman" w:hAnsi="Times New Roman"/>
          <w:color w:val="auto"/>
        </w:rPr>
        <w:t>для Московской области – к основной фразе добавляется: «ЦПЭ Московской области».</w:t>
      </w:r>
    </w:p>
    <w:p>
      <w:pPr>
        <w:pStyle w:val="Normal"/>
        <w:tabs>
          <w:tab w:val="clear" w:pos="709"/>
          <w:tab w:val="left" w:pos="992" w:leader="none"/>
        </w:tabs>
        <w:spacing w:before="0" w:after="102"/>
        <w:jc w:val="both"/>
        <w:rPr>
          <w:rFonts w:ascii="Times New Roman" w:hAnsi="Times New Roman" w:eastAsia="Times New Roman" w:cs="Times New Roman"/>
          <w:color w:val="auto"/>
          <w:highlight w:val="white"/>
        </w:rPr>
      </w:pPr>
      <w:r>
        <w:rPr>
          <w:rFonts w:eastAsia="Times New Roman" w:cs="Times New Roman" w:ascii="Times New Roman" w:hAnsi="Times New Roman"/>
          <w:color w:val="auto"/>
          <w:highlight w:val="white"/>
        </w:rPr>
      </w:r>
    </w:p>
    <w:p>
      <w:pPr>
        <w:pStyle w:val="Normal"/>
        <w:spacing w:before="0" w:after="102"/>
        <w:ind w:hanging="425" w:left="425"/>
        <w:rPr>
          <w:rFonts w:ascii="Times New Roman" w:hAnsi="Times New Roman" w:cs="Times New Roman"/>
          <w:b/>
          <w:color w:val="auto"/>
          <w:highlight w:val="white"/>
        </w:rPr>
      </w:pPr>
      <w:r>
        <w:rPr>
          <w:rFonts w:eastAsia="Times New Roman" w:cs="Times New Roman" w:ascii="Times New Roman" w:hAnsi="Times New Roman"/>
          <w:b/>
          <w:bCs/>
          <w:color w:val="auto"/>
          <w:highlight w:val="white"/>
        </w:rPr>
        <w:t>3.</w:t>
        <w:tab/>
      </w:r>
      <w:r>
        <w:rPr>
          <w:rFonts w:eastAsia="Times New Roman" w:cs="Times New Roman" w:ascii="Times New Roman" w:hAnsi="Times New Roman"/>
          <w:b/>
          <w:color w:val="auto"/>
          <w:highlight w:val="white"/>
          <w:lang w:eastAsia="en-US"/>
        </w:rPr>
        <w:t>Методика</w:t>
      </w:r>
      <w:r>
        <w:rPr>
          <w:rFonts w:eastAsia="Times New Roman" w:cs="Times New Roman" w:ascii="Times New Roman" w:hAnsi="Times New Roman"/>
          <w:color w:val="auto"/>
          <w:highlight w:val="white"/>
        </w:rPr>
        <w:t xml:space="preserve"> </w:t>
      </w:r>
      <w:r>
        <w:rPr>
          <w:rFonts w:eastAsia="Times New Roman" w:cs="Times New Roman" w:ascii="Times New Roman" w:hAnsi="Times New Roman"/>
          <w:b/>
          <w:color w:val="auto"/>
          <w:highlight w:val="white"/>
          <w:lang w:eastAsia="en-US"/>
        </w:rPr>
        <w:t xml:space="preserve">формирования рейтинга эффективности внедрения </w:t>
      </w:r>
      <w:r>
        <w:rPr>
          <w:rFonts w:eastAsia="Times New Roman" w:cs="Times New Roman" w:ascii="Times New Roman" w:hAnsi="Times New Roman"/>
          <w:b/>
          <w:bCs/>
          <w:color w:val="auto"/>
          <w:highlight w:val="white"/>
        </w:rPr>
        <w:t>Стандарта в Субъектах.</w:t>
      </w:r>
    </w:p>
    <w:p>
      <w:pPr>
        <w:pStyle w:val="Normal"/>
        <w:tabs>
          <w:tab w:val="clear" w:pos="709"/>
          <w:tab w:val="left" w:pos="992" w:leader="none"/>
        </w:tabs>
        <w:spacing w:before="0" w:after="102"/>
        <w:jc w:val="both"/>
        <w:rPr>
          <w:rFonts w:ascii="Times New Roman" w:hAnsi="Times New Roman" w:cs="Times New Roman"/>
          <w:color w:val="auto"/>
          <w:highlight w:val="white"/>
        </w:rPr>
      </w:pPr>
      <w:r>
        <w:rPr>
          <w:rFonts w:cs="Times New Roman" w:ascii="Times New Roman" w:hAnsi="Times New Roman"/>
          <w:color w:val="auto"/>
        </w:rPr>
        <w:t>Источник информации - данные Системы.</w:t>
      </w:r>
      <w:r>
        <w:rPr>
          <w:rFonts w:eastAsia="Times New Roman" w:cs="Times New Roman" w:ascii="Times New Roman" w:hAnsi="Times New Roman"/>
          <w:color w:val="auto"/>
        </w:rPr>
        <w:t xml:space="preserve"> Рейтинг формируется на основе балльно-рейтинговой системы в следующем порядке:</w:t>
      </w:r>
    </w:p>
    <w:p>
      <w:pPr>
        <w:pStyle w:val="Normal"/>
        <w:tabs>
          <w:tab w:val="clear" w:pos="709"/>
          <w:tab w:val="left" w:pos="850" w:leader="none"/>
        </w:tabs>
        <w:spacing w:before="0" w:after="102"/>
        <w:jc w:val="both"/>
        <w:rPr>
          <w:rFonts w:ascii="Times New Roman" w:hAnsi="Times New Roman" w:cs="Times New Roman"/>
          <w:color w:val="auto"/>
          <w:highlight w:val="white"/>
        </w:rPr>
      </w:pPr>
      <w:r>
        <w:rPr>
          <w:rFonts w:eastAsia="Times New Roman" w:cs="Times New Roman" w:ascii="Times New Roman" w:hAnsi="Times New Roman"/>
          <w:color w:val="auto"/>
          <w:lang w:eastAsia="en-US"/>
        </w:rPr>
        <w:t>3.1. Группировка Субъектов по исполнению Плана-графика</w:t>
      </w:r>
    </w:p>
    <w:p>
      <w:pPr>
        <w:pStyle w:val="Normal"/>
        <w:tabs>
          <w:tab w:val="clear" w:pos="709"/>
          <w:tab w:val="left" w:pos="850" w:leader="none"/>
        </w:tabs>
        <w:spacing w:before="0" w:after="102"/>
        <w:ind w:left="425"/>
        <w:jc w:val="both"/>
        <w:rPr>
          <w:rFonts w:ascii="Times New Roman" w:hAnsi="Times New Roman" w:cs="Times New Roman"/>
          <w:color w:val="auto"/>
          <w:highlight w:val="white"/>
        </w:rPr>
      </w:pPr>
      <w:r>
        <w:rPr>
          <w:rFonts w:eastAsia="Times New Roman" w:cs="Times New Roman" w:ascii="Times New Roman" w:hAnsi="Times New Roman"/>
          <w:color w:val="auto"/>
          <w:lang w:eastAsia="en-US"/>
        </w:rPr>
        <w:t>Субъекты разделяются на 2 (две) группы в зависимости от исполнения (неисполнения) помесячного плана-графика реализации инструментов Стандарта (далее – План-график):</w:t>
      </w:r>
    </w:p>
    <w:p>
      <w:pPr>
        <w:pStyle w:val="ListParagraph"/>
        <w:numPr>
          <w:ilvl w:val="0"/>
          <w:numId w:val="84"/>
        </w:numPr>
        <w:ind w:hanging="295" w:left="720"/>
        <w:jc w:val="both"/>
        <w:rPr>
          <w:rFonts w:ascii="Times New Roman" w:hAnsi="Times New Roman" w:cs="Times New Roman"/>
          <w:color w:val="auto"/>
        </w:rPr>
      </w:pPr>
      <w:r>
        <w:rPr>
          <w:rFonts w:eastAsia="Times New Roman" w:cs="Times New Roman" w:ascii="Times New Roman" w:hAnsi="Times New Roman"/>
          <w:color w:val="auto"/>
          <w:lang w:eastAsia="en-US"/>
        </w:rPr>
        <w:t>группа 1 – Субъекты, исполняющие План-график;</w:t>
      </w:r>
    </w:p>
    <w:p>
      <w:pPr>
        <w:pStyle w:val="ListParagraph"/>
        <w:numPr>
          <w:ilvl w:val="0"/>
          <w:numId w:val="84"/>
        </w:numPr>
        <w:spacing w:before="0" w:after="102"/>
        <w:ind w:hanging="295" w:left="720"/>
        <w:contextualSpacing/>
        <w:jc w:val="both"/>
        <w:rPr>
          <w:rFonts w:ascii="Times New Roman" w:hAnsi="Times New Roman" w:cs="Times New Roman"/>
          <w:color w:val="auto"/>
        </w:rPr>
      </w:pPr>
      <w:r>
        <w:rPr>
          <w:rFonts w:eastAsia="Times New Roman" w:cs="Times New Roman" w:ascii="Times New Roman" w:hAnsi="Times New Roman"/>
          <w:color w:val="auto"/>
          <w:lang w:eastAsia="en-US"/>
        </w:rPr>
        <w:t>группа 2 – Субъекты, не исполняющие План-график</w:t>
      </w:r>
      <w:r>
        <w:rPr>
          <w:rFonts w:cs="Times New Roman" w:ascii="Times New Roman" w:hAnsi="Times New Roman"/>
          <w:color w:val="auto"/>
        </w:rPr>
        <w:t>.</w:t>
      </w:r>
    </w:p>
    <w:p>
      <w:pPr>
        <w:pStyle w:val="Normal"/>
        <w:tabs>
          <w:tab w:val="clear" w:pos="709"/>
          <w:tab w:val="left" w:pos="850" w:leader="none"/>
        </w:tabs>
        <w:spacing w:before="0" w:after="102"/>
        <w:ind w:hanging="425" w:left="425"/>
        <w:jc w:val="both"/>
        <w:rPr>
          <w:rFonts w:ascii="Times New Roman" w:hAnsi="Times New Roman" w:eastAsia="Times New Roman" w:cs="Times New Roman"/>
          <w:color w:val="auto"/>
        </w:rPr>
      </w:pPr>
      <w:r>
        <w:rPr>
          <w:rFonts w:eastAsia="Times New Roman" w:cs="Times New Roman" w:ascii="Times New Roman" w:hAnsi="Times New Roman"/>
          <w:color w:val="auto"/>
          <w:lang w:eastAsia="en-US"/>
        </w:rPr>
        <w:t>3.2.</w:t>
        <w:tab/>
        <w:t>Ранжирование внутри групп</w:t>
      </w:r>
    </w:p>
    <w:p>
      <w:pPr>
        <w:pStyle w:val="Normal"/>
        <w:tabs>
          <w:tab w:val="clear" w:pos="709"/>
          <w:tab w:val="left" w:pos="850" w:leader="none"/>
        </w:tabs>
        <w:spacing w:before="0" w:after="102"/>
        <w:ind w:left="425"/>
        <w:jc w:val="both"/>
        <w:rPr>
          <w:rFonts w:ascii="Times New Roman" w:hAnsi="Times New Roman" w:eastAsia="Times New Roman" w:cs="Times New Roman"/>
          <w:color w:val="auto"/>
        </w:rPr>
      </w:pPr>
      <w:r>
        <w:rPr>
          <w:rFonts w:eastAsia="Times New Roman" w:cs="Times New Roman" w:ascii="Times New Roman" w:hAnsi="Times New Roman"/>
          <w:color w:val="auto"/>
          <w:lang w:eastAsia="en-US"/>
        </w:rPr>
        <w:t xml:space="preserve">В рамках каждой группы Субъекты ранжируются в порядке убывания значения </w:t>
      </w:r>
      <w:r>
        <w:rPr>
          <w:rFonts w:eastAsia="Times New Roman" w:cs="Times New Roman" w:ascii="Times New Roman" w:hAnsi="Times New Roman"/>
          <w:color w:val="auto"/>
        </w:rPr>
        <w:t xml:space="preserve">интегрального показателя </w:t>
      </w:r>
      <w:r>
        <w:rPr>
          <w:rFonts w:eastAsia="Times New Roman" w:cs="Times New Roman" w:ascii="Times New Roman" w:hAnsi="Times New Roman"/>
          <w:color w:val="auto"/>
          <w:lang w:eastAsia="en-US"/>
        </w:rPr>
        <w:t>эффективности</w:t>
      </w:r>
      <w:r>
        <w:rPr>
          <w:rFonts w:eastAsia="Times New Roman" w:cs="Times New Roman" w:ascii="Times New Roman" w:hAnsi="Times New Roman"/>
          <w:color w:val="auto"/>
        </w:rPr>
        <w:t xml:space="preserve"> внедрения Стандарта</w:t>
      </w:r>
      <w:r>
        <w:rPr>
          <w:rFonts w:eastAsia="Times New Roman" w:cs="Times New Roman" w:ascii="Times New Roman" w:hAnsi="Times New Roman"/>
          <w:color w:val="auto"/>
          <w:lang w:eastAsia="en-US"/>
        </w:rPr>
        <w:t xml:space="preserve"> для </w:t>
      </w:r>
      <w:r>
        <w:rPr>
          <w:rFonts w:eastAsia="Times New Roman" w:cs="Times New Roman" w:ascii="Times New Roman" w:hAnsi="Times New Roman"/>
          <w:i/>
          <w:iCs/>
          <w:color w:val="auto"/>
        </w:rPr>
        <w:t>i</w:t>
      </w:r>
      <w:r>
        <w:rPr>
          <w:rFonts w:eastAsia="Times New Roman" w:cs="Times New Roman" w:ascii="Times New Roman" w:hAnsi="Times New Roman"/>
          <w:color w:val="auto"/>
        </w:rPr>
        <w:t>-го Субъекта (</w:t>
      </w: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rPr>
        <w:t>), выраженного в баллах. Показатель рассчитывается по формуле:</w:t>
      </w:r>
    </w:p>
    <w:p>
      <w:pPr>
        <w:pStyle w:val="Normal"/>
        <w:tabs>
          <w:tab w:val="clear" w:pos="709"/>
          <w:tab w:val="left" w:pos="992" w:leader="none"/>
        </w:tabs>
        <w:spacing w:before="0" w:after="102"/>
        <w:jc w:val="center"/>
        <w:rPr>
          <w:rFonts w:ascii="Times New Roman" w:hAnsi="Times New Roman" w:eastAsia="Times New Roman" w:cs="Times New Roman"/>
          <w:color w:val="auto"/>
          <w:highlight w:val="white"/>
        </w:rPr>
      </w:pP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rPr>
        <w:t xml:space="preserve"> </w:t>
      </w:r>
      <w:r>
        <w:rPr>
          <w:rFonts w:eastAsia="Times New Roman" w:cs="Times New Roman" w:ascii="Times New Roman" w:hAnsi="Times New Roman"/>
          <w:color w:val="auto"/>
        </w:rPr>
        <w:t xml:space="preserve">= </w:t>
      </w:r>
      <w:r>
        <w:rPr/>
      </w:r>
      <m:oMath xmlns:m="http://schemas.openxmlformats.org/officeDocument/2006/math">
        <m:nary>
          <m:naryPr>
            <m:chr m:val="∑"/>
          </m:naryPr>
          <m:sub>
            <m:r>
              <w:rPr>
                <w:rFonts w:ascii="Cambria Math" w:hAnsi="Cambria Math"/>
              </w:rPr>
              <m:t xml:space="preserve">j</m:t>
            </m:r>
            <m:r>
              <w:rPr>
                <w:rFonts w:ascii="Cambria Math" w:hAnsi="Cambria Math"/>
              </w:rPr>
              <m:t xml:space="preserve">=</m:t>
            </m:r>
            <m:r>
              <w:rPr>
                <w:rFonts w:ascii="Cambria Math" w:hAnsi="Cambria Math"/>
              </w:rPr>
              <m:t xml:space="preserve">1</m:t>
            </m:r>
          </m:sub>
          <m:sup>
            <m:r>
              <w:rPr>
                <w:rFonts w:ascii="Cambria Math" w:hAnsi="Cambria Math"/>
              </w:rPr>
              <m:t xml:space="preserve">15</m:t>
            </m:r>
          </m:sup>
          <m:e>
            <m:r>
              <w:rPr>
                <w:rFonts w:ascii="Cambria Math" w:hAnsi="Cambria Math"/>
              </w:rPr>
              <m:t xml:space="preserve">(</m:t>
            </m:r>
            <m:sSubSup>
              <m:e>
                <m:r>
                  <w:rPr>
                    <w:rFonts w:ascii="Cambria Math" w:hAnsi="Cambria Math"/>
                  </w:rPr>
                  <m:t xml:space="preserve">l</m:t>
                </m:r>
              </m:e>
              <m:sub>
                <m:r>
                  <w:rPr>
                    <w:rFonts w:ascii="Cambria Math" w:hAnsi="Cambria Math"/>
                  </w:rPr>
                  <m:t xml:space="preserve">j</m:t>
                </m:r>
              </m:sub>
              <m:sup>
                <m:r>
                  <w:rPr>
                    <w:rFonts w:ascii="Cambria Math" w:hAnsi="Cambria Math"/>
                  </w:rPr>
                  <m:t xml:space="preserve">1</m:t>
                </m:r>
              </m:sup>
            </m:sSubSup>
            <m:r>
              <w:rPr>
                <w:rFonts w:ascii="Cambria Math" w:hAnsi="Cambria Math"/>
              </w:rPr>
              <m:t xml:space="preserve">+</m:t>
            </m:r>
            <m:sSubSup>
              <m:e>
                <m:r>
                  <w:rPr>
                    <w:rFonts w:ascii="Cambria Math" w:hAnsi="Cambria Math"/>
                  </w:rPr>
                  <m:t xml:space="preserve">l</m:t>
                </m:r>
              </m:e>
              <m:sub>
                <m:r>
                  <w:rPr>
                    <w:rFonts w:ascii="Cambria Math" w:hAnsi="Cambria Math"/>
                  </w:rPr>
                  <m:t xml:space="preserve">j</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l</m:t>
                </m:r>
              </m:e>
              <m:sub>
                <m:r>
                  <w:rPr>
                    <w:rFonts w:ascii="Cambria Math" w:hAnsi="Cambria Math"/>
                  </w:rPr>
                  <m:t xml:space="preserve">j</m:t>
                </m:r>
              </m:sub>
              <m:sup>
                <m:r>
                  <w:rPr>
                    <w:rFonts w:ascii="Cambria Math" w:hAnsi="Cambria Math"/>
                  </w:rPr>
                  <m:t xml:space="preserve">3</m:t>
                </m:r>
              </m:sup>
            </m:sSubSup>
            <m:r>
              <w:rPr>
                <w:rFonts w:ascii="Cambria Math" w:hAnsi="Cambria Math"/>
              </w:rPr>
              <m:t xml:space="preserve">)</m:t>
            </m:r>
          </m:e>
        </m:nary>
      </m:oMath>
      <w:r>
        <w:rPr>
          <w:rFonts w:eastAsia="Times New Roman" w:cs="Times New Roman" w:ascii="Times New Roman" w:hAnsi="Times New Roman"/>
          <w:color w:val="auto"/>
        </w:rPr>
        <w:t xml:space="preserve"> </w:t>
      </w:r>
      <w:r>
        <w:rPr/>
      </w:r>
      <m:oMath xmlns:m="http://schemas.openxmlformats.org/officeDocument/2006/math">
        <m:r>
          <w:rPr>
            <w:rFonts w:ascii="Cambria Math" w:hAnsi="Cambria Math"/>
          </w:rPr>
          <m:t xml:space="preserve">+</m:t>
        </m:r>
      </m:oMath>
      <w:r>
        <w:rPr>
          <w:rFonts w:eastAsia="Times New Roman" w:cs="Times New Roman" w:ascii="Times New Roman" w:hAnsi="Times New Roman"/>
          <w:color w:val="auto"/>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b</m:t>
            </m:r>
          </m:sub>
        </m:sSub>
      </m:oMath>
      <w:r>
        <w:rPr>
          <w:rFonts w:eastAsia="Times New Roman" w:cs="Times New Roman" w:ascii="Times New Roman" w:hAnsi="Times New Roman"/>
          <w:color w:val="auto"/>
        </w:rPr>
        <w:t xml:space="preserve"> </w:t>
      </w:r>
      <w:r>
        <w:rPr/>
      </w:r>
      <m:oMath xmlns:m="http://schemas.openxmlformats.org/officeDocument/2006/math">
        <m:r>
          <w:rPr>
            <w:rFonts w:ascii="Cambria Math" w:hAnsi="Cambria Math"/>
          </w:rPr>
          <m:t xml:space="preserve">+</m:t>
        </m:r>
      </m:oMath>
      <w:r>
        <w:rPr>
          <w:rFonts w:eastAsia="Times New Roman" w:cs="Times New Roman" w:ascii="Times New Roman" w:hAnsi="Times New Roman"/>
          <w:color w:val="auto"/>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ip</m:t>
            </m:r>
          </m:sub>
        </m:sSub>
      </m:oMath>
      <w:r>
        <w:rPr>
          <w:rFonts w:eastAsia="Times New Roman" w:cs="Times New Roman" w:ascii="Times New Roman" w:hAnsi="Times New Roman"/>
          <w:color w:val="auto"/>
        </w:rPr>
        <w:t xml:space="preserve"> ,</w:t>
      </w:r>
    </w:p>
    <w:p>
      <w:pPr>
        <w:pStyle w:val="Normal"/>
        <w:tabs>
          <w:tab w:val="clear" w:pos="709"/>
          <w:tab w:val="left" w:pos="992" w:leader="none"/>
        </w:tabs>
        <w:ind w:firstLine="425"/>
        <w:jc w:val="both"/>
        <w:rPr>
          <w:rFonts w:ascii="Times New Roman" w:hAnsi="Times New Roman" w:eastAsia="Times New Roman" w:cs="Times New Roman"/>
          <w:color w:val="auto"/>
          <w:highlight w:val="white"/>
        </w:rPr>
      </w:pPr>
      <w:r>
        <w:rPr>
          <w:rFonts w:eastAsia="Times New Roman" w:cs="Times New Roman" w:ascii="Times New Roman" w:hAnsi="Times New Roman"/>
          <w:color w:val="auto"/>
        </w:rPr>
        <w:t>где:</w:t>
      </w:r>
    </w:p>
    <w:p>
      <w:pPr>
        <w:pStyle w:val="Normal"/>
        <w:tabs>
          <w:tab w:val="clear" w:pos="709"/>
          <w:tab w:val="left" w:pos="992" w:leader="none"/>
        </w:tabs>
        <w:ind w:firstLine="425"/>
        <w:jc w:val="both"/>
        <w:rPr>
          <w:rFonts w:ascii="Times New Roman" w:hAnsi="Times New Roman" w:eastAsia="Times New Roman" w:cs="Times New Roman"/>
          <w:color w:val="auto"/>
          <w:highlight w:val="white"/>
        </w:rPr>
      </w:pP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 xml:space="preserve">интегральный показатель </w:t>
      </w:r>
      <w:r>
        <w:rPr>
          <w:rFonts w:eastAsia="Times New Roman" w:cs="Times New Roman" w:ascii="Times New Roman" w:hAnsi="Times New Roman"/>
          <w:color w:val="auto"/>
          <w:lang w:eastAsia="en-US"/>
        </w:rPr>
        <w:t>эффективности</w:t>
      </w:r>
      <w:r>
        <w:rPr>
          <w:rFonts w:eastAsia="Times New Roman" w:cs="Times New Roman" w:ascii="Times New Roman" w:hAnsi="Times New Roman"/>
          <w:color w:val="auto"/>
        </w:rPr>
        <w:t xml:space="preserve"> внедрения Стандарта </w:t>
      </w:r>
      <w:r>
        <w:rPr>
          <w:rFonts w:eastAsia="Times New Roman" w:cs="Times New Roman" w:ascii="Times New Roman" w:hAnsi="Times New Roman"/>
          <w:i/>
          <w:iCs/>
          <w:color w:val="auto"/>
        </w:rPr>
        <w:t>i</w:t>
      </w:r>
      <w:r>
        <w:rPr>
          <w:rFonts w:eastAsia="Times New Roman" w:cs="Times New Roman" w:ascii="Times New Roman" w:hAnsi="Times New Roman"/>
          <w:color w:val="auto"/>
        </w:rPr>
        <w:t>-го Субъекта (в баллах);</w:t>
      </w:r>
    </w:p>
    <w:p>
      <w:pPr>
        <w:pStyle w:val="Normal"/>
        <w:tabs>
          <w:tab w:val="clear" w:pos="709"/>
          <w:tab w:val="left" w:pos="992" w:leader="none"/>
        </w:tabs>
        <w:ind w:firstLine="425"/>
        <w:rPr>
          <w:rFonts w:ascii="Times New Roman" w:hAnsi="Times New Roman" w:eastAsia="Times New Roman" w:cs="Times New Roman"/>
          <w:color w:val="auto"/>
          <w:highlight w:val="white"/>
        </w:rPr>
      </w:pPr>
      <w:r>
        <w:rPr/>
      </w:r>
      <m:oMath xmlns:m="http://schemas.openxmlformats.org/officeDocument/2006/math">
        <m:r>
          <w:rPr>
            <w:rFonts w:ascii="Cambria Math" w:hAnsi="Cambria Math"/>
          </w:rPr>
          <m:t xml:space="preserve">j</m:t>
        </m:r>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порядковый номер Инструмента Стандарта (от 1 до 15);</w:t>
      </w:r>
    </w:p>
    <w:p>
      <w:pPr>
        <w:pStyle w:val="Normal"/>
        <w:tabs>
          <w:tab w:val="clear" w:pos="709"/>
          <w:tab w:val="left" w:pos="992" w:leader="none"/>
        </w:tabs>
        <w:ind w:firstLine="425"/>
        <w:rPr>
          <w:rFonts w:ascii="Times New Roman" w:hAnsi="Times New Roman" w:eastAsia="Times New Roman" w:cs="Times New Roman"/>
          <w:color w:val="auto"/>
        </w:rPr>
      </w:pPr>
      <w:r>
        <w:rPr/>
      </w:r>
      <m:oMath xmlns:m="http://schemas.openxmlformats.org/officeDocument/2006/math">
        <m:sSubSup>
          <m:e>
            <m:r>
              <w:rPr>
                <w:rFonts w:ascii="Cambria Math" w:hAnsi="Cambria Math"/>
              </w:rPr>
              <m:t xml:space="preserve">l</m:t>
            </m:r>
          </m:e>
          <m:sub>
            <m:r>
              <w:rPr>
                <w:rFonts w:ascii="Cambria Math" w:hAnsi="Cambria Math"/>
              </w:rPr>
              <m:t xml:space="preserve">j</m:t>
            </m:r>
          </m:sub>
          <m:sup>
            <m:r>
              <w:rPr>
                <w:rFonts w:ascii="Cambria Math" w:hAnsi="Cambria Math"/>
              </w:rPr>
              <m:t xml:space="preserve">1</m:t>
            </m:r>
          </m:sup>
        </m:sSubSup>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 xml:space="preserve">коэффициент внедрения </w:t>
      </w:r>
      <w:r>
        <w:rPr>
          <w:rFonts w:eastAsia="Times New Roman" w:cs="Times New Roman" w:ascii="Times New Roman" w:hAnsi="Times New Roman"/>
          <w:i/>
          <w:iCs/>
          <w:color w:val="auto"/>
        </w:rPr>
        <w:t>j</w:t>
      </w:r>
      <w:r>
        <w:rPr>
          <w:rFonts w:eastAsia="Times New Roman" w:cs="Times New Roman" w:ascii="Times New Roman" w:hAnsi="Times New Roman"/>
          <w:color w:val="auto"/>
        </w:rPr>
        <w:t>-го Инструмента на Уровне 1:</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не внедрен – 0 баллов;</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highlight w:val="white"/>
        </w:rPr>
      </w:pPr>
      <w:r>
        <w:rPr>
          <w:rFonts w:eastAsia="Times New Roman" w:cs="Times New Roman" w:ascii="Times New Roman" w:hAnsi="Times New Roman"/>
          <w:color w:val="auto"/>
        </w:rPr>
        <w:t>внедрен – 10 баллов;</w:t>
      </w:r>
    </w:p>
    <w:p>
      <w:pPr>
        <w:pStyle w:val="Normal"/>
        <w:tabs>
          <w:tab w:val="clear" w:pos="709"/>
          <w:tab w:val="left" w:pos="992" w:leader="none"/>
        </w:tabs>
        <w:ind w:firstLine="425"/>
        <w:rPr>
          <w:rFonts w:ascii="Times New Roman" w:hAnsi="Times New Roman" w:eastAsia="Times New Roman" w:cs="Times New Roman"/>
          <w:color w:val="auto"/>
        </w:rPr>
      </w:pPr>
      <w:r>
        <w:rPr/>
      </w:r>
      <m:oMath xmlns:m="http://schemas.openxmlformats.org/officeDocument/2006/math">
        <m:sSubSup>
          <m:e>
            <m:r>
              <w:rPr>
                <w:rFonts w:ascii="Cambria Math" w:hAnsi="Cambria Math"/>
              </w:rPr>
              <m:t xml:space="preserve">l</m:t>
            </m:r>
          </m:e>
          <m:sub>
            <m:r>
              <w:rPr>
                <w:rFonts w:ascii="Cambria Math" w:hAnsi="Cambria Math"/>
              </w:rPr>
              <m:t xml:space="preserve">j</m:t>
            </m:r>
          </m:sub>
          <m:sup>
            <m:r>
              <w:rPr>
                <w:rFonts w:ascii="Cambria Math" w:hAnsi="Cambria Math"/>
              </w:rPr>
              <m:t xml:space="preserve">2</m:t>
            </m:r>
          </m:sup>
        </m:sSubSup>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 xml:space="preserve">коэффициент внедрения </w:t>
      </w:r>
      <w:r>
        <w:rPr>
          <w:rFonts w:eastAsia="Times New Roman" w:cs="Times New Roman" w:ascii="Times New Roman" w:hAnsi="Times New Roman"/>
          <w:i/>
          <w:iCs/>
          <w:color w:val="auto"/>
        </w:rPr>
        <w:t>j</w:t>
      </w:r>
      <w:r>
        <w:rPr>
          <w:rFonts w:eastAsia="Times New Roman" w:cs="Times New Roman" w:ascii="Times New Roman" w:hAnsi="Times New Roman"/>
          <w:color w:val="auto"/>
        </w:rPr>
        <w:t>-го Инструмента на Уровне 2:</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не внедрен – 0 баллов;</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highlight w:val="white"/>
        </w:rPr>
      </w:pPr>
      <w:r>
        <w:rPr>
          <w:rFonts w:eastAsia="Times New Roman" w:cs="Times New Roman" w:ascii="Times New Roman" w:hAnsi="Times New Roman"/>
          <w:color w:val="auto"/>
        </w:rPr>
        <w:t>внедрен – 5 баллов;</w:t>
      </w:r>
    </w:p>
    <w:p>
      <w:pPr>
        <w:pStyle w:val="Normal"/>
        <w:tabs>
          <w:tab w:val="clear" w:pos="709"/>
          <w:tab w:val="left" w:pos="992" w:leader="none"/>
        </w:tabs>
        <w:ind w:firstLine="425"/>
        <w:rPr>
          <w:rFonts w:ascii="Times New Roman" w:hAnsi="Times New Roman" w:eastAsia="Times New Roman" w:cs="Times New Roman"/>
          <w:color w:val="auto"/>
        </w:rPr>
      </w:pPr>
      <w:r>
        <w:rPr/>
      </w:r>
      <m:oMath xmlns:m="http://schemas.openxmlformats.org/officeDocument/2006/math">
        <m:sSubSup>
          <m:e>
            <m:r>
              <w:rPr>
                <w:rFonts w:ascii="Cambria Math" w:hAnsi="Cambria Math"/>
              </w:rPr>
              <m:t xml:space="preserve">l</m:t>
            </m:r>
          </m:e>
          <m:sub>
            <m:r>
              <w:rPr>
                <w:rFonts w:ascii="Cambria Math" w:hAnsi="Cambria Math"/>
              </w:rPr>
              <m:t xml:space="preserve">j</m:t>
            </m:r>
          </m:sub>
          <m:sup>
            <m:r>
              <w:rPr>
                <w:rFonts w:ascii="Cambria Math" w:hAnsi="Cambria Math"/>
              </w:rPr>
              <m:t xml:space="preserve">3</m:t>
            </m:r>
          </m:sup>
        </m:sSubSup>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 xml:space="preserve">коэффициент внедрения </w:t>
      </w:r>
      <w:r>
        <w:rPr>
          <w:rFonts w:eastAsia="Times New Roman" w:cs="Times New Roman" w:ascii="Times New Roman" w:hAnsi="Times New Roman"/>
          <w:i/>
          <w:iCs/>
          <w:color w:val="auto"/>
        </w:rPr>
        <w:t>j</w:t>
      </w:r>
      <w:r>
        <w:rPr>
          <w:rFonts w:eastAsia="Times New Roman" w:cs="Times New Roman" w:ascii="Times New Roman" w:hAnsi="Times New Roman"/>
          <w:color w:val="auto"/>
        </w:rPr>
        <w:t>-го Инструмента на Уровне 3:</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не внедрен – 0 баллов;</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внедрен – 5 баллов.</w:t>
      </w:r>
    </w:p>
    <w:p>
      <w:pPr>
        <w:pStyle w:val="Normal"/>
        <w:tabs>
          <w:tab w:val="clear" w:pos="709"/>
          <w:tab w:val="left" w:pos="992" w:leader="none"/>
        </w:tabs>
        <w:ind w:hanging="425" w:left="850"/>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b</m:t>
            </m:r>
          </m:sub>
        </m:sSub>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коэффициент внедрения дополнительных Инструментов:</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внедрено менее 14 Инструментов – 0 баллов;</w:t>
      </w:r>
    </w:p>
    <w:p>
      <w:pPr>
        <w:pStyle w:val="ListParagraph"/>
        <w:numPr>
          <w:ilvl w:val="0"/>
          <w:numId w:val="139"/>
        </w:numPr>
        <w:tabs>
          <w:tab w:val="clear" w:pos="709"/>
          <w:tab w:val="left" w:pos="992" w:leader="none"/>
        </w:tabs>
        <w:ind w:hanging="567" w:left="1276"/>
        <w:rPr>
          <w:rFonts w:ascii="Times New Roman" w:hAnsi="Times New Roman" w:eastAsia="Times New Roman" w:cs="Times New Roman"/>
          <w:color w:val="auto"/>
        </w:rPr>
      </w:pPr>
      <w:r>
        <w:rPr>
          <w:rFonts w:eastAsia="Times New Roman" w:cs="Times New Roman" w:ascii="Times New Roman" w:hAnsi="Times New Roman"/>
          <w:color w:val="auto"/>
        </w:rPr>
        <w:t>внедрено 14 Инструментов – 10 баллов;</w:t>
      </w:r>
    </w:p>
    <w:p>
      <w:pPr>
        <w:pStyle w:val="ListParagraph"/>
        <w:numPr>
          <w:ilvl w:val="0"/>
          <w:numId w:val="139"/>
        </w:numPr>
        <w:tabs>
          <w:tab w:val="clear" w:pos="709"/>
          <w:tab w:val="left" w:pos="992" w:leader="none"/>
        </w:tabs>
        <w:spacing w:before="0" w:after="102"/>
        <w:ind w:hanging="567" w:left="1276"/>
        <w:contextualSpacing/>
        <w:rPr>
          <w:rFonts w:ascii="Times New Roman" w:hAnsi="Times New Roman" w:eastAsia="Times New Roman" w:cs="Times New Roman"/>
          <w:color w:val="auto"/>
        </w:rPr>
      </w:pPr>
      <w:r>
        <w:rPr>
          <w:rFonts w:eastAsia="Times New Roman" w:cs="Times New Roman" w:ascii="Times New Roman" w:hAnsi="Times New Roman"/>
          <w:color w:val="auto"/>
        </w:rPr>
        <w:t>внедрено 15 Инструментов – 20 баллов.</w:t>
      </w:r>
    </w:p>
    <w:p>
      <w:pPr>
        <w:pStyle w:val="Normal"/>
        <w:tabs>
          <w:tab w:val="clear" w:pos="709"/>
          <w:tab w:val="left" w:pos="425" w:leader="none"/>
        </w:tabs>
        <w:spacing w:before="0" w:after="102"/>
        <w:ind w:left="425"/>
        <w:jc w:val="both"/>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ip</m:t>
            </m:r>
          </m:sub>
        </m:sSub>
      </m:oMath>
      <w:r>
        <w:rPr>
          <w:rFonts w:eastAsia="Times New Roman" w:cs="Times New Roman" w:ascii="Times New Roman" w:hAnsi="Times New Roman"/>
          <w:color w:val="auto"/>
        </w:rPr>
        <w:t xml:space="preserve"> – </w:t>
      </w:r>
      <w:r>
        <w:rPr>
          <w:rFonts w:eastAsia="Times New Roman" w:cs="Times New Roman" w:ascii="Times New Roman" w:hAnsi="Times New Roman"/>
          <w:color w:val="auto"/>
        </w:rPr>
        <w:t xml:space="preserve">поправочный коэффициент </w:t>
      </w:r>
      <w:r>
        <w:rPr>
          <w:rFonts w:eastAsia="Times New Roman" w:cs="Times New Roman" w:ascii="Times New Roman" w:hAnsi="Times New Roman"/>
          <w:i/>
          <w:iCs/>
          <w:color w:val="auto"/>
        </w:rPr>
        <w:t>i</w:t>
      </w:r>
      <w:r>
        <w:rPr>
          <w:rFonts w:eastAsia="Times New Roman" w:cs="Times New Roman" w:ascii="Times New Roman" w:hAnsi="Times New Roman"/>
          <w:color w:val="auto"/>
        </w:rPr>
        <w:t>-го Субъекта, учитывающий показатели объема и динамики ННЭ Субъекта, выраженный в баллах. Показатель рассчитывается по формуле:</w:t>
      </w:r>
    </w:p>
    <w:p>
      <w:pPr>
        <w:pStyle w:val="Normal"/>
        <w:tabs>
          <w:tab w:val="clear" w:pos="709"/>
          <w:tab w:val="left" w:pos="992" w:leader="none"/>
        </w:tabs>
        <w:spacing w:before="0" w:after="102"/>
        <w:jc w:val="center"/>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ip</m:t>
            </m:r>
          </m:sub>
        </m:sSub>
      </m:oMath>
      <w:r>
        <w:rPr>
          <w:rFonts w:eastAsia="Times New Roman" w:cs="Times New Roman" w:ascii="Times New Roman" w:hAnsi="Times New Roman"/>
          <w:color w:val="auto"/>
        </w:rPr>
        <w:t xml:space="preserve"> </w:t>
      </w:r>
      <w:r>
        <w:rPr>
          <w:rFonts w:eastAsia="Times New Roman" w:cs="Times New Roman" w:ascii="Times New Roman" w:hAnsi="Times New Roman"/>
          <w:color w:val="auto"/>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m:t>
            </m:r>
            <m:r>
              <w:rPr>
                <w:rFonts w:ascii="Cambria Math" w:hAnsi="Cambria Math"/>
              </w:rPr>
              <m:t xml:space="preserve">ННЭ</m:t>
            </m:r>
          </m:sub>
        </m:sSub>
      </m:oMath>
      <w:r>
        <w:rPr>
          <w:rFonts w:eastAsia="Times New Roman" w:cs="Times New Roman" w:ascii="Times New Roman" w:hAnsi="Times New Roman"/>
          <w:color w:val="auto"/>
        </w:rPr>
        <w:t xml:space="preserve"> </w:t>
      </w:r>
      <w:r>
        <w:rPr/>
      </w:r>
      <m:oMath xmlns:m="http://schemas.openxmlformats.org/officeDocument/2006/math">
        <m:r>
          <w:rPr>
            <w:rFonts w:ascii="Cambria Math" w:hAnsi="Cambria Math"/>
          </w:rPr>
          <m:t xml:space="preserve">+</m:t>
        </m:r>
      </m:oMath>
      <w:r>
        <w:rPr>
          <w:rFonts w:eastAsia="Times New Roman" w:cs="Times New Roman" w:ascii="Times New Roman" w:hAnsi="Times New Roman"/>
          <w:color w:val="auto"/>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ННЭ</m:t>
            </m:r>
          </m:sub>
        </m:sSub>
      </m:oMath>
      <w:r>
        <w:rPr>
          <w:rFonts w:eastAsia="Times New Roman" w:cs="Times New Roman" w:ascii="Times New Roman" w:hAnsi="Times New Roman"/>
          <w:color w:val="auto"/>
        </w:rPr>
        <w:t xml:space="preserve"> ,</w:t>
      </w:r>
    </w:p>
    <w:p>
      <w:pPr>
        <w:pStyle w:val="Normal"/>
        <w:tabs>
          <w:tab w:val="clear" w:pos="709"/>
          <w:tab w:val="left" w:pos="992" w:leader="none"/>
        </w:tabs>
        <w:ind w:left="992"/>
        <w:jc w:val="both"/>
        <w:rPr>
          <w:rFonts w:ascii="Times New Roman" w:hAnsi="Times New Roman" w:eastAsia="Times New Roman" w:cs="Times New Roman"/>
          <w:color w:val="auto"/>
          <w:highlight w:val="white"/>
        </w:rPr>
      </w:pPr>
      <w:r>
        <w:rPr>
          <w:rFonts w:eastAsia="Times New Roman" w:cs="Times New Roman" w:ascii="Times New Roman" w:hAnsi="Times New Roman"/>
          <w:color w:val="auto"/>
        </w:rPr>
        <w:t>где:</w:t>
      </w:r>
    </w:p>
    <w:p>
      <w:pPr>
        <w:pStyle w:val="Normal"/>
        <w:spacing w:before="0" w:after="102"/>
        <w:ind w:left="992"/>
        <w:jc w:val="both"/>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 xml:space="preserve">коэффициент прироста ННЭ </w:t>
      </w:r>
      <w:r>
        <w:rPr>
          <w:rFonts w:eastAsia="Times New Roman" w:cs="Times New Roman" w:ascii="Times New Roman" w:hAnsi="Times New Roman"/>
          <w:i/>
          <w:iCs/>
          <w:color w:val="auto"/>
        </w:rPr>
        <w:t>i</w:t>
      </w:r>
      <w:r>
        <w:rPr>
          <w:rFonts w:eastAsia="Times New Roman" w:cs="Times New Roman" w:ascii="Times New Roman" w:hAnsi="Times New Roman"/>
          <w:color w:val="auto"/>
        </w:rPr>
        <w:t>-го Субъекта, рассчитывается п</w:t>
      </w:r>
      <w:r>
        <w:rPr>
          <w:rFonts w:eastAsia="Times New Roman" w:ascii="Times New Roman" w:hAnsi="Times New Roman"/>
          <w:color w:val="auto"/>
        </w:rPr>
        <w:t xml:space="preserve">риведением всех значений показателя к шкале от 0 до 1 при помощи нормализации данных. При этом 1 балл соответствует наилучшему результату, а 0 – наихудшему. </w:t>
      </w:r>
      <w:r>
        <w:rPr>
          <w:rFonts w:eastAsia="Times New Roman" w:cs="Times New Roman" w:ascii="Times New Roman" w:hAnsi="Times New Roman"/>
          <w:color w:val="auto"/>
        </w:rPr>
        <w:t>Показатель рассчитывается по формуле:</w:t>
      </w:r>
    </w:p>
    <w:p>
      <w:pPr>
        <w:pStyle w:val="Normal"/>
        <w:tabs>
          <w:tab w:val="clear" w:pos="709"/>
          <w:tab w:val="left" w:pos="992" w:leader="none"/>
        </w:tabs>
        <w:spacing w:before="0" w:after="102"/>
        <w:jc w:val="center"/>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m:t>
            </m:r>
            <m:r>
              <w:rPr>
                <w:rFonts w:ascii="Cambria Math" w:hAnsi="Cambria Math"/>
              </w:rPr>
              <m:t xml:space="preserve">ННЭ</m:t>
            </m:r>
          </m:sub>
        </m:sSub>
        <m:r>
          <w:rPr>
            <w:rFonts w:ascii="Cambria Math" w:hAnsi="Cambria Math"/>
          </w:rPr>
          <m:t xml:space="preserve">=</m:t>
        </m:r>
        <m:f>
          <m:num>
            <m:sSub>
              <m:e>
                <m:r>
                  <w:rPr>
                    <w:rFonts w:ascii="Cambria Math" w:hAnsi="Cambria Math"/>
                  </w:rPr>
                  <m:t xml:space="preserve">N</m:t>
                </m:r>
              </m:e>
              <m:sub>
                <m:r>
                  <w:rPr>
                    <w:rFonts w:ascii="Cambria Math" w:hAnsi="Cambria Math"/>
                  </w:rPr>
                  <m:t xml:space="preserve">i</m:t>
                </m:r>
                <m:r>
                  <w:rPr>
                    <w:rFonts w:ascii="Cambria Math" w:hAnsi="Cambria Math"/>
                  </w:rPr>
                  <m:t xml:space="preserve">∆</m:t>
                </m:r>
                <m:r>
                  <w:rPr>
                    <w:rFonts w:ascii="Cambria Math" w:hAnsi="Cambria Math"/>
                  </w:rPr>
                  <m:t xml:space="preserve">ННЭ</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min</m:t>
                </m:r>
                <m:r>
                  <w:rPr>
                    <w:rFonts w:ascii="Cambria Math" w:hAnsi="Cambria Math"/>
                  </w:rPr>
                  <m:t xml:space="preserve">∆</m:t>
                </m:r>
                <m:r>
                  <w:rPr>
                    <w:rFonts w:ascii="Cambria Math" w:hAnsi="Cambria Math"/>
                  </w:rPr>
                  <m:t xml:space="preserve">ННЭ</m:t>
                </m:r>
              </m:sub>
            </m:sSub>
          </m:num>
          <m:den>
            <m:sSub>
              <m:e>
                <m:r>
                  <w:rPr>
                    <w:rFonts w:ascii="Cambria Math" w:hAnsi="Cambria Math"/>
                  </w:rPr>
                  <m:t xml:space="preserve">N</m:t>
                </m:r>
              </m:e>
              <m:sub>
                <m:r>
                  <w:rPr>
                    <w:rFonts w:ascii="Cambria Math" w:hAnsi="Cambria Math"/>
                  </w:rPr>
                  <m:t xml:space="preserve">max</m:t>
                </m:r>
                <m:r>
                  <w:rPr>
                    <w:rFonts w:ascii="Cambria Math" w:hAnsi="Cambria Math"/>
                  </w:rPr>
                  <m:t xml:space="preserve">∆</m:t>
                </m:r>
                <m:r>
                  <w:rPr>
                    <w:rFonts w:ascii="Cambria Math" w:hAnsi="Cambria Math"/>
                  </w:rPr>
                  <m:t xml:space="preserve">ННЭ</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min</m:t>
                </m:r>
                <m:r>
                  <w:rPr>
                    <w:rFonts w:ascii="Cambria Math" w:hAnsi="Cambria Math"/>
                  </w:rPr>
                  <m:t xml:space="preserve">∆</m:t>
                </m:r>
                <m:r>
                  <w:rPr>
                    <w:rFonts w:ascii="Cambria Math" w:hAnsi="Cambria Math"/>
                  </w:rPr>
                  <m:t xml:space="preserve">ННЭ</m:t>
                </m:r>
              </m:sub>
            </m:sSub>
          </m:den>
        </m:f>
      </m:oMath>
      <w:r>
        <w:rPr>
          <w:rFonts w:eastAsia="Times New Roman" w:cs="Times New Roman" w:ascii="Times New Roman" w:hAnsi="Times New Roman"/>
          <w:color w:val="auto"/>
        </w:rPr>
        <w:t xml:space="preserve"> </w:t>
      </w:r>
      <w:r>
        <w:rPr>
          <w:rFonts w:eastAsia="Times New Roman" w:cs="Times New Roman" w:ascii="Times New Roman" w:hAnsi="Times New Roman"/>
          <w:color w:val="auto"/>
        </w:rPr>
        <w:t>,</w:t>
      </w:r>
    </w:p>
    <w:p>
      <w:pPr>
        <w:pStyle w:val="Normal"/>
        <w:ind w:left="1559"/>
        <w:jc w:val="both"/>
        <w:rPr>
          <w:rFonts w:ascii="Times New Roman" w:hAnsi="Times New Roman" w:eastAsia="Times New Roman"/>
          <w:color w:val="auto"/>
        </w:rPr>
      </w:pPr>
      <w:r>
        <w:rPr>
          <w:rFonts w:eastAsia="Times New Roman" w:cs="Times New Roman" w:ascii="Times New Roman" w:hAnsi="Times New Roman"/>
          <w:color w:val="auto"/>
        </w:rPr>
        <w:t>где:</w:t>
      </w:r>
    </w:p>
    <w:p>
      <w:pPr>
        <w:pStyle w:val="Normal"/>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i</m:t>
            </m:r>
            <m:r>
              <w:rPr>
                <w:rFonts w:ascii="Cambria Math" w:hAnsi="Cambria Math"/>
              </w:rPr>
              <m:t xml:space="preserve">∆</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показатель «Темп роста несырьевого неэнергетического экспорта региона к АППГ» (в процентах) i-го Субъекта за отчетный год;</w:t>
      </w:r>
    </w:p>
    <w:p>
      <w:pPr>
        <w:pStyle w:val="Normal"/>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min</m:t>
            </m:r>
            <m:r>
              <w:rPr>
                <w:rFonts w:ascii="Cambria Math" w:hAnsi="Cambria Math"/>
              </w:rPr>
              <m:t xml:space="preserve">∆</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выборочный минимум значений показателя «Темп роста несырьевого неэнергетического экспорта региона к АППГ» (в процентах) по всем Субъектам за отчетный год;</w:t>
      </w:r>
    </w:p>
    <w:p>
      <w:pPr>
        <w:pStyle w:val="Normal"/>
        <w:spacing w:before="0" w:after="102"/>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max</m:t>
            </m:r>
            <m:r>
              <w:rPr>
                <w:rFonts w:ascii="Cambria Math" w:hAnsi="Cambria Math"/>
              </w:rPr>
              <m:t xml:space="preserve">∆</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выборочный максимум значений показателя «Темп роста несырьевого неэнергетического экспорта региона к АППГ» (в процентах) по всем Субъектам за отчетный год;</w:t>
      </w:r>
    </w:p>
    <w:p>
      <w:pPr>
        <w:pStyle w:val="Normal"/>
        <w:spacing w:before="0" w:after="102"/>
        <w:ind w:left="992"/>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 xml:space="preserve">коэффициент объема ННЭ </w:t>
      </w:r>
      <w:r>
        <w:rPr>
          <w:rFonts w:eastAsia="Times New Roman" w:cs="Times New Roman" w:ascii="Times New Roman" w:hAnsi="Times New Roman"/>
          <w:i/>
          <w:iCs/>
          <w:color w:val="auto"/>
        </w:rPr>
        <w:t>i</w:t>
      </w:r>
      <w:r>
        <w:rPr>
          <w:rFonts w:eastAsia="Times New Roman" w:cs="Times New Roman" w:ascii="Times New Roman" w:hAnsi="Times New Roman"/>
          <w:color w:val="auto"/>
        </w:rPr>
        <w:t>-го Субъекта, рассчитывается п</w:t>
      </w:r>
      <w:r>
        <w:rPr>
          <w:rFonts w:eastAsia="Times New Roman" w:ascii="Times New Roman" w:hAnsi="Times New Roman"/>
          <w:color w:val="auto"/>
        </w:rPr>
        <w:t xml:space="preserve">риведением всех значений показателя к шкале от 0 до 1 при помощи нормализации данных. При этом 1 балл соответствует наилучшему результату, а 0 – наихудшему. </w:t>
      </w:r>
      <w:r>
        <w:rPr>
          <w:rFonts w:eastAsia="Times New Roman" w:cs="Times New Roman" w:ascii="Times New Roman" w:hAnsi="Times New Roman"/>
          <w:color w:val="auto"/>
        </w:rPr>
        <w:t>Показатель рассчитывается по формуле:</w:t>
      </w:r>
    </w:p>
    <w:p>
      <w:pPr>
        <w:pStyle w:val="Normal"/>
        <w:tabs>
          <w:tab w:val="clear" w:pos="709"/>
          <w:tab w:val="left" w:pos="992" w:leader="none"/>
        </w:tabs>
        <w:spacing w:before="0" w:after="102"/>
        <w:jc w:val="center"/>
        <w:rPr>
          <w:rFonts w:ascii="Times New Roman" w:hAnsi="Times New Roman" w:eastAsia="Times New Roman" w:cs="Times New Roman"/>
          <w:color w:val="auto"/>
        </w:rPr>
      </w:pPr>
      <w:r>
        <w:rPr/>
      </w:r>
      <m:oMath xmlns:m="http://schemas.openxmlformats.org/officeDocument/2006/math">
        <m:sSub>
          <m:e>
            <m:r>
              <w:rPr>
                <w:rFonts w:ascii="Cambria Math" w:hAnsi="Cambria Math"/>
              </w:rPr>
              <m:t xml:space="preserve">k</m:t>
            </m:r>
          </m:e>
          <m:sub>
            <m:r>
              <w:rPr>
                <w:rFonts w:ascii="Cambria Math" w:hAnsi="Cambria Math"/>
              </w:rPr>
              <m:t xml:space="preserve">i</m:t>
            </m:r>
            <m:r>
              <w:rPr>
                <w:rFonts w:ascii="Cambria Math" w:hAnsi="Cambria Math"/>
              </w:rPr>
              <m:t xml:space="preserve">ННЭ</m:t>
            </m:r>
          </m:sub>
        </m:sSub>
        <m:r>
          <w:rPr>
            <w:rFonts w:ascii="Cambria Math" w:hAnsi="Cambria Math"/>
          </w:rPr>
          <m:t xml:space="preserve">=</m:t>
        </m:r>
        <m:f>
          <m:num>
            <m:sSub>
              <m:e>
                <m:r>
                  <w:rPr>
                    <w:rFonts w:ascii="Cambria Math" w:hAnsi="Cambria Math"/>
                  </w:rPr>
                  <m:t xml:space="preserve">N</m:t>
                </m:r>
              </m:e>
              <m:sub>
                <m:r>
                  <w:rPr>
                    <w:rFonts w:ascii="Cambria Math" w:hAnsi="Cambria Math"/>
                  </w:rPr>
                  <m:t xml:space="preserve">i</m:t>
                </m:r>
                <m:r>
                  <w:rPr>
                    <w:rFonts w:ascii="Cambria Math" w:hAnsi="Cambria Math"/>
                  </w:rPr>
                  <m:t xml:space="preserve">ННЭ</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min</m:t>
                </m:r>
                <m:r>
                  <w:rPr>
                    <w:rFonts w:ascii="Cambria Math" w:hAnsi="Cambria Math"/>
                  </w:rPr>
                  <m:t xml:space="preserve">ННЭ</m:t>
                </m:r>
              </m:sub>
            </m:sSub>
          </m:num>
          <m:den>
            <m:sSub>
              <m:e>
                <m:r>
                  <w:rPr>
                    <w:rFonts w:ascii="Cambria Math" w:hAnsi="Cambria Math"/>
                  </w:rPr>
                  <m:t xml:space="preserve">N</m:t>
                </m:r>
              </m:e>
              <m:sub>
                <m:r>
                  <w:rPr>
                    <w:rFonts w:ascii="Cambria Math" w:hAnsi="Cambria Math"/>
                  </w:rPr>
                  <m:t xml:space="preserve">max</m:t>
                </m:r>
                <m:r>
                  <w:rPr>
                    <w:rFonts w:ascii="Cambria Math" w:hAnsi="Cambria Math"/>
                  </w:rPr>
                  <m:t xml:space="preserve">ННЭ</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min</m:t>
                </m:r>
                <m:r>
                  <w:rPr>
                    <w:rFonts w:ascii="Cambria Math" w:hAnsi="Cambria Math"/>
                  </w:rPr>
                  <m:t xml:space="preserve">ННЭ</m:t>
                </m:r>
              </m:sub>
            </m:sSub>
          </m:den>
        </m:f>
      </m:oMath>
      <w:r>
        <w:rPr>
          <w:rFonts w:eastAsia="Times New Roman" w:cs="Times New Roman" w:ascii="Times New Roman" w:hAnsi="Times New Roman"/>
          <w:color w:val="auto"/>
        </w:rPr>
        <w:t xml:space="preserve"> </w:t>
      </w:r>
      <w:r>
        <w:rPr>
          <w:rFonts w:eastAsia="Times New Roman" w:cs="Times New Roman" w:ascii="Times New Roman" w:hAnsi="Times New Roman"/>
          <w:color w:val="auto"/>
        </w:rPr>
        <w:t>,</w:t>
      </w:r>
    </w:p>
    <w:p>
      <w:pPr>
        <w:pStyle w:val="Normal"/>
        <w:ind w:left="1559"/>
        <w:jc w:val="both"/>
        <w:rPr>
          <w:rFonts w:ascii="Times New Roman" w:hAnsi="Times New Roman" w:eastAsia="Times New Roman"/>
          <w:color w:val="auto"/>
        </w:rPr>
      </w:pPr>
      <w:r>
        <w:rPr>
          <w:rFonts w:eastAsia="Times New Roman" w:cs="Times New Roman" w:ascii="Times New Roman" w:hAnsi="Times New Roman"/>
          <w:color w:val="auto"/>
        </w:rPr>
        <w:t>где:</w:t>
      </w:r>
    </w:p>
    <w:p>
      <w:pPr>
        <w:pStyle w:val="Normal"/>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i</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показатель «Объем экспорта несырьевых неэнергетических товаров» (в номинальных ценах, млрд долл. США) i-го Субъекта за отчетный год;</w:t>
      </w:r>
    </w:p>
    <w:p>
      <w:pPr>
        <w:pStyle w:val="Normal"/>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min</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выборочный минимум значений показателя «Объем экспорта несырьевых неэнергетических товаров» (в номинальных ценах, млрд долл. США) по всем Субъектам за отчетный год;</w:t>
      </w:r>
    </w:p>
    <w:p>
      <w:pPr>
        <w:pStyle w:val="Normal"/>
        <w:spacing w:before="0" w:after="102"/>
        <w:ind w:left="1559"/>
        <w:jc w:val="both"/>
        <w:rPr>
          <w:rFonts w:ascii="Times New Roman" w:hAnsi="Times New Roman" w:eastAsia="Times New Roman"/>
          <w:color w:val="auto"/>
        </w:rPr>
      </w:pPr>
      <w:r>
        <w:rPr/>
      </w:r>
      <m:oMath xmlns:m="http://schemas.openxmlformats.org/officeDocument/2006/math">
        <m:sSub>
          <m:e>
            <m:r>
              <w:rPr>
                <w:rFonts w:ascii="Cambria Math" w:hAnsi="Cambria Math"/>
              </w:rPr>
              <m:t xml:space="preserve">N</m:t>
            </m:r>
          </m:e>
          <m:sub>
            <m:r>
              <w:rPr>
                <w:rFonts w:ascii="Cambria Math" w:hAnsi="Cambria Math"/>
              </w:rPr>
              <m:t xml:space="preserve">max</m:t>
            </m:r>
            <m:r>
              <w:rPr>
                <w:rFonts w:ascii="Cambria Math" w:hAnsi="Cambria Math"/>
              </w:rPr>
              <m:t xml:space="preserve">ННЭ</m:t>
            </m:r>
          </m:sub>
        </m:sSub>
      </m:oMath>
      <w:r>
        <w:rPr>
          <w:rFonts w:eastAsia="Times New Roman" w:ascii="Times New Roman" w:hAnsi="Times New Roman"/>
          <w:color w:val="auto"/>
        </w:rPr>
        <w:t xml:space="preserve"> – </w:t>
      </w:r>
      <w:r>
        <w:rPr>
          <w:rFonts w:eastAsia="Times New Roman" w:ascii="Times New Roman" w:hAnsi="Times New Roman"/>
          <w:color w:val="auto"/>
        </w:rPr>
        <w:t>выборочный максимум значений показателя «Объем экспорта несырьевых неэнергетических товаров» (в номинальных ценах, млрд долл. США) по всем Субъектам за отчетный год.</w:t>
      </w:r>
    </w:p>
    <w:p>
      <w:pPr>
        <w:pStyle w:val="Normal"/>
        <w:tabs>
          <w:tab w:val="clear" w:pos="709"/>
          <w:tab w:val="left" w:pos="992" w:leader="none"/>
        </w:tabs>
        <w:spacing w:before="0" w:after="102"/>
        <w:ind w:hanging="425" w:left="425"/>
        <w:jc w:val="both"/>
        <w:rPr>
          <w:rFonts w:ascii="Times New Roman" w:hAnsi="Times New Roman" w:eastAsia="Times New Roman" w:cs="Times New Roman"/>
          <w:color w:val="auto"/>
        </w:rPr>
      </w:pPr>
      <w:r>
        <w:rPr>
          <w:rFonts w:eastAsia="Times New Roman" w:cs="Times New Roman" w:ascii="Times New Roman" w:hAnsi="Times New Roman"/>
          <w:color w:val="auto"/>
        </w:rPr>
        <w:t>3.3.</w:t>
        <w:tab/>
        <w:t>Формирование итогового рейтинга</w:t>
      </w:r>
    </w:p>
    <w:p>
      <w:pPr>
        <w:pStyle w:val="Normal"/>
        <w:tabs>
          <w:tab w:val="clear" w:pos="709"/>
          <w:tab w:val="left" w:pos="992" w:leader="none"/>
        </w:tabs>
        <w:ind w:left="425"/>
        <w:jc w:val="both"/>
        <w:rPr>
          <w:rFonts w:ascii="Times New Roman" w:hAnsi="Times New Roman" w:eastAsia="Times New Roman" w:cs="Times New Roman"/>
          <w:color w:val="auto"/>
        </w:rPr>
      </w:pPr>
      <w:r>
        <w:rPr>
          <w:rFonts w:eastAsia="Times New Roman" w:cs="Times New Roman" w:ascii="Times New Roman" w:hAnsi="Times New Roman"/>
          <w:color w:val="auto"/>
        </w:rPr>
        <w:t xml:space="preserve">Итоговый рейтинг Субъектов путем объединения двух </w:t>
      </w:r>
      <w:r>
        <w:rPr>
          <w:rFonts w:eastAsia="Times New Roman" w:cs="Times New Roman" w:ascii="Times New Roman" w:hAnsi="Times New Roman"/>
          <w:color w:val="auto"/>
          <w:lang w:eastAsia="en-US"/>
        </w:rPr>
        <w:t>групп Субъектов в единый список:</w:t>
      </w:r>
    </w:p>
    <w:p>
      <w:pPr>
        <w:pStyle w:val="ListParagraph"/>
        <w:numPr>
          <w:ilvl w:val="0"/>
          <w:numId w:val="140"/>
        </w:numPr>
        <w:tabs>
          <w:tab w:val="clear" w:pos="709"/>
          <w:tab w:val="left" w:pos="992" w:leader="none"/>
        </w:tabs>
        <w:ind w:hanging="11" w:left="720"/>
        <w:jc w:val="both"/>
        <w:rPr>
          <w:rFonts w:ascii="Times New Roman" w:hAnsi="Times New Roman" w:eastAsia="Times New Roman" w:cs="Times New Roman"/>
          <w:color w:val="auto"/>
        </w:rPr>
      </w:pPr>
      <w:r>
        <w:rPr>
          <w:rFonts w:eastAsia="Times New Roman" w:cs="Times New Roman" w:ascii="Times New Roman" w:hAnsi="Times New Roman"/>
          <w:color w:val="auto"/>
          <w:lang w:eastAsia="en-US"/>
        </w:rPr>
        <w:t xml:space="preserve">сначала </w:t>
      </w:r>
      <w:r>
        <w:rPr>
          <w:rFonts w:eastAsia="Times New Roman" w:ascii="Times New Roman" w:hAnsi="Times New Roman"/>
          <w:color w:val="auto"/>
        </w:rPr>
        <w:t>–</w:t>
      </w:r>
      <w:r>
        <w:rPr>
          <w:rFonts w:eastAsia="Times New Roman" w:cs="Times New Roman" w:ascii="Times New Roman" w:hAnsi="Times New Roman"/>
          <w:color w:val="auto"/>
          <w:lang w:eastAsia="en-US"/>
        </w:rPr>
        <w:t xml:space="preserve"> Субъекты группы 1, в порядке убывания </w:t>
      </w: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lang w:eastAsia="en-US"/>
        </w:rPr>
        <w:t>;</w:t>
      </w:r>
    </w:p>
    <w:p>
      <w:pPr>
        <w:pStyle w:val="ListParagraph"/>
        <w:numPr>
          <w:ilvl w:val="0"/>
          <w:numId w:val="140"/>
        </w:numPr>
        <w:tabs>
          <w:tab w:val="clear" w:pos="709"/>
          <w:tab w:val="left" w:pos="992" w:leader="none"/>
        </w:tabs>
        <w:spacing w:before="0" w:after="102"/>
        <w:ind w:hanging="11" w:left="720"/>
        <w:contextualSpacing/>
        <w:jc w:val="both"/>
        <w:rPr>
          <w:rFonts w:ascii="Times New Roman" w:hAnsi="Times New Roman" w:eastAsia="Times New Roman" w:cs="Times New Roman"/>
          <w:color w:val="auto"/>
        </w:rPr>
      </w:pPr>
      <w:r>
        <w:rPr>
          <w:rFonts w:eastAsia="Times New Roman" w:cs="Times New Roman" w:ascii="Times New Roman" w:hAnsi="Times New Roman"/>
          <w:color w:val="auto"/>
          <w:lang w:eastAsia="en-US"/>
        </w:rPr>
        <w:t xml:space="preserve">затем </w:t>
      </w:r>
      <w:r>
        <w:rPr>
          <w:rFonts w:eastAsia="Times New Roman" w:ascii="Times New Roman" w:hAnsi="Times New Roman"/>
          <w:color w:val="auto"/>
        </w:rPr>
        <w:t>–</w:t>
      </w:r>
      <w:r>
        <w:rPr>
          <w:rFonts w:eastAsia="Times New Roman" w:cs="Times New Roman" w:ascii="Times New Roman" w:hAnsi="Times New Roman"/>
          <w:color w:val="auto"/>
          <w:lang w:eastAsia="en-US"/>
        </w:rPr>
        <w:t xml:space="preserve"> Субъекты группы 2, в порядке убывания </w:t>
      </w: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lang w:eastAsia="en-US"/>
        </w:rPr>
        <w:t>.</w:t>
      </w:r>
    </w:p>
    <w:p>
      <w:pPr>
        <w:pStyle w:val="Normal"/>
        <w:tabs>
          <w:tab w:val="clear" w:pos="709"/>
          <w:tab w:val="left" w:pos="992" w:leader="none"/>
        </w:tabs>
        <w:ind w:left="425"/>
        <w:jc w:val="both"/>
        <w:rPr>
          <w:rFonts w:ascii="Times New Roman" w:hAnsi="Times New Roman" w:eastAsia="Times New Roman" w:cs="Times New Roman"/>
          <w:color w:val="auto"/>
        </w:rPr>
      </w:pPr>
      <w:r>
        <w:rPr>
          <w:rFonts w:eastAsia="Times New Roman" w:cs="Times New Roman" w:ascii="Times New Roman" w:hAnsi="Times New Roman"/>
          <w:color w:val="auto"/>
          <w:lang w:eastAsia="en-US"/>
        </w:rPr>
        <w:t>Итоговое место i-го субъекта в рейтинге определяется его позицией в этом списке:</w:t>
      </w:r>
    </w:p>
    <w:p>
      <w:pPr>
        <w:pStyle w:val="ListParagraph"/>
        <w:numPr>
          <w:ilvl w:val="0"/>
          <w:numId w:val="141"/>
        </w:numPr>
        <w:ind w:hanging="283" w:left="992"/>
        <w:rPr>
          <w:rFonts w:ascii="Times New Roman" w:hAnsi="Times New Roman" w:cs="Times New Roman"/>
          <w:color w:val="auto"/>
          <w:highlight w:val="white"/>
        </w:rPr>
      </w:pPr>
      <w:r>
        <w:rPr>
          <w:rFonts w:eastAsia="Times New Roman" w:cs="Times New Roman" w:ascii="Times New Roman" w:hAnsi="Times New Roman"/>
          <w:color w:val="auto"/>
          <w:highlight w:val="white"/>
        </w:rPr>
        <w:t xml:space="preserve">наивысшее место (1-е) присваивается Субъекту с максимальным значением </w:t>
      </w: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highlight w:val="white"/>
        </w:rPr>
        <w:t>​ в группе 1;</w:t>
      </w:r>
    </w:p>
    <w:p>
      <w:pPr>
        <w:pStyle w:val="ListParagraph"/>
        <w:numPr>
          <w:ilvl w:val="0"/>
          <w:numId w:val="141"/>
        </w:numPr>
        <w:ind w:hanging="283" w:left="992"/>
        <w:rPr>
          <w:rFonts w:ascii="Times New Roman" w:hAnsi="Times New Roman" w:cs="Times New Roman"/>
          <w:color w:val="auto"/>
          <w:highlight w:val="white"/>
        </w:rPr>
      </w:pPr>
      <w:r>
        <w:rPr>
          <w:rFonts w:eastAsia="Times New Roman" w:cs="Times New Roman" w:ascii="Times New Roman" w:hAnsi="Times New Roman"/>
          <w:color w:val="auto"/>
          <w:highlight w:val="white"/>
        </w:rPr>
        <w:t xml:space="preserve">последнее место присваивается Субъекту с минимальным значением </w:t>
      </w:r>
      <w:r>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Times New Roman" w:cs="Times New Roman" w:ascii="Times New Roman" w:hAnsi="Times New Roman"/>
          <w:color w:val="auto"/>
          <w:highlight w:val="white"/>
        </w:rPr>
        <w:t xml:space="preserve"> в группе 2.</w:t>
      </w:r>
    </w:p>
    <w:sectPr>
      <w:headerReference w:type="even" r:id="rId62"/>
      <w:headerReference w:type="default" r:id="rId63"/>
      <w:headerReference w:type="first" r:id="rId64"/>
      <w:footnotePr>
        <w:numFmt w:val="decimal"/>
      </w:footnotePr>
      <w:type w:val="nextPage"/>
      <w:pgSz w:w="11906" w:h="16838"/>
      <w:pgMar w:left="1134" w:right="850" w:gutter="0" w:header="567"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1"/>
    <w:family w:val="roman"/>
    <w:pitch w:val="default"/>
  </w:font>
  <w:font w:name="Arial">
    <w:charset w:val="01"/>
    <w:family w:val="swiss"/>
    <w:pitch w:val="default"/>
  </w:font>
  <w:font w:name="Times New Roman">
    <w:charset w:val="01"/>
    <w:family w:val="roman"/>
    <w:pitch w:val="default"/>
  </w:font>
  <w:font w:name="Tahoma">
    <w:charset w:val="01"/>
    <w:family w:val="roman"/>
    <w:pitch w:val="default"/>
  </w:font>
  <w:font w:name="Segoe UI">
    <w:charset w:val="01"/>
    <w:family w:val="roman"/>
    <w:pitch w:val="default"/>
  </w:font>
  <w:font w:name="PT Astra Serif">
    <w:charset w:val="01"/>
    <w:family w:val="roman"/>
    <w:pitch w:val="default"/>
  </w:font>
  <w:font w:name="PF Agora Sans Pro Light">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40"/>
        <w:jc w:val="both"/>
        <w:rPr>
          <w:rFonts w:ascii="Times New Roman" w:hAnsi="Times New Roman" w:cs="Times New Roman"/>
          <w:color w:val="auto"/>
          <w:sz w:val="20"/>
          <w:szCs w:val="20"/>
          <w:highlight w:val="white"/>
        </w:rPr>
      </w:pPr>
      <w:r>
        <w:rPr>
          <w:rStyle w:val="Style5"/>
        </w:rPr>
        <w:footnoteRef/>
      </w:r>
      <w:r>
        <w:rPr>
          <w:rStyle w:val="user"/>
          <w:rFonts w:eastAsia="Times New Roman" w:cs="Times New Roman" w:ascii="Times New Roman" w:hAnsi="Times New Roman"/>
          <w:color w:val="auto"/>
          <w:position w:val="0"/>
          <w:sz w:val="20"/>
          <w:sz w:val="20"/>
          <w:szCs w:val="20"/>
          <w:highlight w:val="white"/>
          <w:vertAlign w:val="baseline"/>
        </w:rPr>
        <w:t xml:space="preserve"> </w:t>
      </w:r>
      <w:r>
        <w:rPr>
          <w:rFonts w:eastAsia="Times New Roman" w:cs="Times New Roman" w:ascii="Times New Roman" w:hAnsi="Times New Roman"/>
          <w:color w:val="auto"/>
          <w:sz w:val="20"/>
          <w:szCs w:val="20"/>
          <w:highlight w:val="white"/>
        </w:rPr>
        <w:t>Уровень экспортного развития и экспортного потенциала в субъекте Российской Федерации определяется в соответствии с постановлением Правительства Российской Федерации от 15 апреля 2014 г. № 316 «Об утверждении государственной программы Российской Федерации «Экономическое развитие и инновационная экономика».</w:t>
      </w:r>
    </w:p>
  </w:footnote>
  <w:footnote w:id="3">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Здесь и далее экспортно ориентированное предприятие (Организация) – это юридическое лицо или индивидуальный предприниматель, часть продукции или услуг которых предназначена для поставки на внешний (зарубежный) рынок, а экспортная деятельность является существенной составляющей их бизнес-стратегии.</w:t>
      </w:r>
    </w:p>
  </w:footnote>
  <w:footnote w:id="4">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Сопоставимо ежегодному значению показателя «Прирост объема экспорта несырьевых неэнергетических товаров к показателю 2023 года» национального проекта «Международная кооперация и экспорт».</w:t>
      </w:r>
    </w:p>
  </w:footnote>
  <w:footnote w:id="5">
    <w:p>
      <w:pPr>
        <w:pStyle w:val="FootnoteText"/>
        <w:spacing w:before="0" w:after="40"/>
        <w:jc w:val="both"/>
        <w:rPr>
          <w:rFonts w:ascii="Times New Roman" w:hAnsi="Times New Roman" w:cs="Times New Roman"/>
          <w:color w:val="auto"/>
          <w:sz w:val="20"/>
          <w:szCs w:val="20"/>
          <w:highlight w:val="white"/>
        </w:rPr>
      </w:pPr>
      <w:r>
        <w:rPr>
          <w:rStyle w:val="Style5"/>
        </w:rPr>
        <w:footnoteRef/>
      </w:r>
      <w:r>
        <w:rPr>
          <w:rFonts w:eastAsia="Times New Roman" w:cs="Times New Roman" w:ascii="Times New Roman" w:hAnsi="Times New Roman"/>
          <w:color w:val="auto"/>
          <w:sz w:val="20"/>
          <w:szCs w:val="20"/>
          <w:highlight w:val="white"/>
        </w:rPr>
        <w:t xml:space="preserve"> </w:t>
      </w:r>
      <w:r>
        <w:rPr>
          <w:rFonts w:eastAsia="Times New Roman" w:cs="Times New Roman" w:ascii="Times New Roman" w:hAnsi="Times New Roman"/>
          <w:color w:val="auto"/>
          <w:sz w:val="20"/>
          <w:szCs w:val="20"/>
          <w:highlight w:val="white"/>
        </w:rPr>
        <w:t>Перечень опорных стран определен в Стратегии развития внешнеэкономической деятельности Российской Федерации на период до 2030 года</w:t>
      </w:r>
      <w:r>
        <w:rPr>
          <w:rFonts w:eastAsia="Times New Roman" w:cs="Times New Roman" w:ascii="Times New Roman" w:hAnsi="Times New Roman"/>
          <w:color w:val="auto"/>
          <w:sz w:val="20"/>
          <w:szCs w:val="20"/>
        </w:rPr>
        <w:t xml:space="preserve"> и Планом развития межрегионального сотрудничества Российской Федерации № МД-П13-12462 от 09.04.2025.</w:t>
      </w:r>
    </w:p>
  </w:footnote>
  <w:footnote w:id="6">
    <w:p>
      <w:pPr>
        <w:pStyle w:val="FootnoteText"/>
        <w:spacing w:before="0" w:after="40"/>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Здесь и далее – порядок распределения Субъектов по группам определен в разделе «Введение» Стандарта.</w:t>
      </w:r>
    </w:p>
  </w:footnote>
  <w:footnote w:id="7">
    <w:p>
      <w:pPr>
        <w:pStyle w:val="FootnoteText"/>
        <w:spacing w:before="0" w:after="40"/>
        <w:jc w:val="both"/>
        <w:rPr>
          <w:rFonts w:ascii="Times New Roman" w:hAnsi="Times New Roman" w:eastAsia="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 xml:space="preserve">Здесь и далее минимальная годовая средняя эффективность мер поддержки экспорта определяется как отношение общей суммы заключенных экспортных контрактов в отчетном году </w:t>
      </w:r>
      <w:r>
        <w:rPr>
          <w:rFonts w:eastAsia="Times New Roman" w:cs="Times New Roman" w:ascii="Times New Roman" w:hAnsi="Times New Roman"/>
          <w:color w:val="auto"/>
          <w:sz w:val="20"/>
          <w:szCs w:val="20"/>
          <w:highlight w:val="white"/>
        </w:rPr>
        <w:t>поддержанными Организациями</w:t>
      </w:r>
      <w:r>
        <w:rPr>
          <w:rFonts w:eastAsia="Times New Roman" w:cs="Times New Roman" w:ascii="Times New Roman" w:hAnsi="Times New Roman"/>
          <w:color w:val="auto"/>
          <w:sz w:val="20"/>
          <w:szCs w:val="20"/>
        </w:rPr>
        <w:t xml:space="preserve"> (в рублях, </w:t>
        <w:br/>
        <w:t xml:space="preserve">по курсу Банка России на дату заключения экспортного контракта) к общей сумме израсходованных бюджетных средств на развитие и поддержку экспорта в отчетном году (в рублях). Подтверждением заключения экспортного контракта является информация Организации о заключении экспортного контракта по итогам полученной </w:t>
      </w:r>
      <w:r>
        <w:rPr>
          <w:rFonts w:eastAsia="Times New Roman" w:cs="Times New Roman" w:ascii="Times New Roman" w:hAnsi="Times New Roman"/>
          <w:color w:val="auto"/>
          <w:sz w:val="20"/>
          <w:szCs w:val="20"/>
          <w:highlight w:val="white"/>
        </w:rPr>
        <w:t>меры государственной поддержки экспорта</w:t>
      </w:r>
      <w:r>
        <w:rPr>
          <w:rFonts w:eastAsia="Times New Roman" w:cs="Times New Roman" w:ascii="Times New Roman" w:hAnsi="Times New Roman"/>
          <w:color w:val="auto"/>
          <w:sz w:val="20"/>
          <w:szCs w:val="20"/>
        </w:rPr>
        <w:t xml:space="preserve"> или комплекса таких мер, включая предмет и дату экспортного контракта, страну экспорта, объем экспорта по экспортному контракту в тыс. долл. США и в рублях по курсу Банка России </w:t>
        <w:br/>
        <w:t>на дату подписания экспортного контракта, название иностранного контрагента.</w:t>
      </w:r>
    </w:p>
  </w:footnote>
  <w:footnote w:id="8">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Порядок распределения Субъектов по группам, в том числе отнесение к группе Субъектов с формирующимся экспортным потенциалом, определен в разделе «Введение» Стандарта.</w:t>
      </w:r>
    </w:p>
  </w:footnote>
  <w:footnote w:id="9">
    <w:p>
      <w:pPr>
        <w:pStyle w:val="FootnoteText"/>
        <w:spacing w:before="0" w:after="40"/>
        <w:jc w:val="both"/>
        <w:rPr>
          <w:rFonts w:ascii="Times New Roman" w:hAnsi="Times New Roman" w:eastAsia="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Оцифрованная услуга ЦПЭ – услуга, оказываемая ЦПЭ, функциональная возможность предоставления которой реализована в ИС «Одно окно».</w:t>
      </w:r>
    </w:p>
  </w:footnote>
  <w:footnote w:id="10">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Один из примеров, лучшая практика «Формирование и анализ базы экспортеров и потенциальных экспортеров в Алтайском крае». Регионом создан раздел с экспортными данными на портале РОИВ с удобными инструментами анализа, обобщения и представления информации (даш-борды), в котором аккумулированы все имеющиеся данные об экспортной деятельности региона, включая экспортную статистику, реестр экспортно ориентированных предприятий и экспортеров: ИНН, коды ОКВЭД, контакты и др.), данные о характере и объеме экспортируемых товаров в страновом и отраслевом разрезе. Доступ к экспортным данным ограничен и предоставлен всем отраслевым региональным органам исполнительной власти.</w:t>
      </w:r>
    </w:p>
  </w:footnote>
  <w:footnote w:id="11">
    <w:p>
      <w:pPr>
        <w:pStyle w:val="FootnoteText"/>
        <w:spacing w:before="0" w:after="40"/>
        <w:jc w:val="both"/>
        <w:rPr>
          <w:rFonts w:ascii="Times New Roman" w:hAnsi="Times New Roman" w:eastAsia="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highlight w:val="white"/>
        </w:rPr>
        <w:t>Данный документ находится в разработке.</w:t>
      </w:r>
    </w:p>
  </w:footnote>
  <w:footnote w:id="12">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Информация о содержании региональной цифровой платформы указана в Инструменте 13 Стандарта.</w:t>
      </w:r>
    </w:p>
  </w:footnote>
  <w:footnote w:id="13">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Лучшая практика, разработанная Субъектом и включенная в Сборник лучших практик в отчетном году, считается внедренной этим Субъектом в указанный отчетный год. Лучшая практика, включенная в Сборник лучших практик и внедренная Субъектом до вступления в силу настоящей редакции Стандарта, учитывается как внедренная в первый год действия настоящей редакции Стандарта.</w:t>
      </w:r>
    </w:p>
  </w:footnote>
  <w:footnote w:id="14">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Лучшая практика, разработанная Субъектом и включенная в Сборник лучших практик до вступления в силу настоящей редакции Стандарта, учитывается для данного Субъекта как включенная в Сборник лучших практик в первый год действия настоящей редакции Стандарта.</w:t>
      </w:r>
    </w:p>
  </w:footnote>
  <w:footnote w:id="15">
    <w:p>
      <w:pPr>
        <w:pStyle w:val="FootnoteText"/>
        <w:spacing w:before="0" w:after="40"/>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rPr>
        <w:t xml:space="preserve">За исключением </w:t>
      </w:r>
      <w:r>
        <w:rPr>
          <w:rFonts w:eastAsia="Times New Roman" w:cs="Times New Roman" w:ascii="Times New Roman" w:hAnsi="Times New Roman"/>
          <w:color w:val="auto"/>
          <w:sz w:val="20"/>
          <w:szCs w:val="20"/>
          <w:highlight w:val="white"/>
        </w:rPr>
        <w:t>данных, публикация которых запрещена</w:t>
      </w:r>
      <w:r>
        <w:rPr>
          <w:rFonts w:eastAsia="Times New Roman" w:cs="Times New Roman" w:ascii="Times New Roman" w:hAnsi="Times New Roman"/>
          <w:color w:val="auto"/>
          <w:sz w:val="20"/>
          <w:szCs w:val="20"/>
        </w:rPr>
        <w:t xml:space="preserve"> законодательно.</w:t>
      </w:r>
    </w:p>
  </w:footnote>
  <w:footnote w:id="16">
    <w:p>
      <w:pPr>
        <w:pStyle w:val="FootnoteText"/>
        <w:spacing w:before="0" w:after="40"/>
        <w:jc w:val="both"/>
        <w:rPr>
          <w:rFonts w:ascii="Times New Roman" w:hAnsi="Times New Roman" w:cs="Times New Roman"/>
          <w:color w:val="auto"/>
          <w:sz w:val="20"/>
          <w:szCs w:val="20"/>
        </w:rPr>
      </w:pPr>
      <w:r>
        <w:rPr>
          <w:rStyle w:val="Style5"/>
        </w:rPr>
        <w:footnoteRef/>
      </w:r>
      <w:r>
        <w:rPr>
          <w:rFonts w:eastAsia="Times New Roman" w:cs="Times New Roman" w:ascii="Times New Roman" w:hAnsi="Times New Roman"/>
          <w:color w:val="auto"/>
          <w:sz w:val="20"/>
          <w:szCs w:val="20"/>
        </w:rPr>
        <w:t xml:space="preserve"> </w:t>
      </w:r>
      <w:r>
        <w:rPr>
          <w:rFonts w:eastAsia="Times New Roman" w:cs="Times New Roman" w:ascii="Times New Roman" w:hAnsi="Times New Roman"/>
          <w:color w:val="auto"/>
          <w:sz w:val="20"/>
          <w:szCs w:val="20"/>
          <w:highlight w:val="white"/>
        </w:rPr>
        <w:t>Методика расчета прироста публикаций и размещений по экспортной тематике в средствах массовой информации Субъектов приведена в приложении к Стандарту.</w:t>
      </w:r>
    </w:p>
  </w:footnote>
  <w:footnote w:id="17">
    <w:p>
      <w:pPr>
        <w:pStyle w:val="FootnoteText"/>
        <w:spacing w:before="0" w:after="40"/>
        <w:jc w:val="both"/>
        <w:rPr>
          <w:rFonts w:ascii="Times New Roman" w:hAnsi="Times New Roman" w:eastAsia="Times New Roman" w:cs="Times New Roman"/>
          <w:color w:val="auto"/>
          <w:sz w:val="20"/>
          <w:szCs w:val="20"/>
          <w:highlight w:val="white"/>
        </w:rPr>
      </w:pPr>
      <w:r>
        <w:rPr>
          <w:rStyle w:val="Style5"/>
        </w:rPr>
        <w:footnoteRef/>
      </w:r>
      <w:r>
        <w:rPr>
          <w:rFonts w:eastAsia="Times New Roman" w:cs="Times New Roman" w:ascii="Times New Roman" w:hAnsi="Times New Roman"/>
          <w:color w:val="auto"/>
          <w:sz w:val="20"/>
          <w:szCs w:val="20"/>
          <w:highlight w:val="white"/>
        </w:rPr>
        <w:t xml:space="preserve"> </w:t>
      </w:r>
      <w:r>
        <w:rPr>
          <w:rFonts w:eastAsia="Times New Roman" w:cs="Times New Roman" w:ascii="Times New Roman" w:hAnsi="Times New Roman"/>
          <w:color w:val="auto"/>
          <w:sz w:val="20"/>
          <w:szCs w:val="20"/>
          <w:highlight w:val="white"/>
        </w:rPr>
        <w:t>Программа развития и продвижения российской продукции за рубежом под национальным брендом «Сделано в России» (madeinrussia.com) реализуется в форматах: выставки, бизнес-миссии, электронный каталог, национальные магазины на электронных торговых площадках, российские национальные павильоны за рубежом, сертификация соответствия в рамках Системы добровольной сертификации «Сделано в России» и пр.</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6">
              <wp:simplePos x="0" y="0"/>
              <wp:positionH relativeFrom="page">
                <wp:posOffset>3994150</wp:posOffset>
              </wp:positionH>
              <wp:positionV relativeFrom="page">
                <wp:posOffset>224790</wp:posOffset>
              </wp:positionV>
              <wp:extent cx="285115" cy="231140"/>
              <wp:effectExtent l="0" t="0" r="0" b="0"/>
              <wp:wrapNone/>
              <wp:docPr id="7" name="_x005F_x0000_s 1"/>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8</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8</w:t>
                    </w:r>
                    <w:r>
                      <w:rPr>
                        <w:sz w:val="22"/>
                        <w:szCs w:val="22"/>
                      </w:rPr>
                      <w:fldChar w:fldCharType="end"/>
                    </w:r>
                  </w:p>
                  <w:p>
                    <w:pPr>
                      <w:pStyle w:val="user4"/>
                      <w:rPr/>
                    </w:pPr>
                    <w:r>
                      <w:rPr/>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6">
              <wp:simplePos x="0" y="0"/>
              <wp:positionH relativeFrom="page">
                <wp:posOffset>3994150</wp:posOffset>
              </wp:positionH>
              <wp:positionV relativeFrom="page">
                <wp:posOffset>224790</wp:posOffset>
              </wp:positionV>
              <wp:extent cx="285115" cy="231140"/>
              <wp:effectExtent l="0" t="0" r="0" b="0"/>
              <wp:wrapNone/>
              <wp:docPr id="8" name="_x005F_x0000_s 1"/>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8</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8</w:t>
                    </w:r>
                    <w:r>
                      <w:rPr>
                        <w:sz w:val="22"/>
                        <w:szCs w:val="22"/>
                      </w:rPr>
                      <w:fldChar w:fldCharType="end"/>
                    </w:r>
                  </w:p>
                  <w:p>
                    <w:pPr>
                      <w:pStyle w:val="user4"/>
                      <w:rPr/>
                    </w:pPr>
                    <w:r>
                      <w:rPr/>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25">
              <wp:simplePos x="0" y="0"/>
              <wp:positionH relativeFrom="page">
                <wp:posOffset>3994150</wp:posOffset>
              </wp:positionH>
              <wp:positionV relativeFrom="page">
                <wp:posOffset>224790</wp:posOffset>
              </wp:positionV>
              <wp:extent cx="285115" cy="231140"/>
              <wp:effectExtent l="0" t="0" r="0" b="0"/>
              <wp:wrapNone/>
              <wp:docPr id="9" name="_x005F_x0000_s 2"/>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2"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13</w:t>
                    </w:r>
                    <w:r>
                      <w:rPr>
                        <w:sz w:val="22"/>
                        <w:szCs w:val="22"/>
                      </w:rPr>
                      <w:fldChar w:fldCharType="end"/>
                    </w:r>
                  </w:p>
                  <w:p>
                    <w:pPr>
                      <w:pStyle w:val="user4"/>
                      <w:rPr/>
                    </w:pPr>
                    <w:r>
                      <w:rPr/>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25">
              <wp:simplePos x="0" y="0"/>
              <wp:positionH relativeFrom="page">
                <wp:posOffset>3994150</wp:posOffset>
              </wp:positionH>
              <wp:positionV relativeFrom="page">
                <wp:posOffset>224790</wp:posOffset>
              </wp:positionV>
              <wp:extent cx="285115" cy="231140"/>
              <wp:effectExtent l="0" t="0" r="0" b="0"/>
              <wp:wrapNone/>
              <wp:docPr id="10" name="_x005F_x0000_s 2"/>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2"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13</w:t>
                    </w:r>
                    <w:r>
                      <w:rPr>
                        <w:sz w:val="22"/>
                        <w:szCs w:val="22"/>
                      </w:rPr>
                      <w:fldChar w:fldCharType="end"/>
                    </w:r>
                  </w:p>
                  <w:p>
                    <w:pPr>
                      <w:pStyle w:val="user4"/>
                      <w:rPr/>
                    </w:pPr>
                    <w:r>
                      <w:rPr/>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31">
              <wp:simplePos x="0" y="0"/>
              <wp:positionH relativeFrom="page">
                <wp:posOffset>3994150</wp:posOffset>
              </wp:positionH>
              <wp:positionV relativeFrom="page">
                <wp:posOffset>224790</wp:posOffset>
              </wp:positionV>
              <wp:extent cx="285115" cy="231140"/>
              <wp:effectExtent l="0" t="0" r="0" b="0"/>
              <wp:wrapNone/>
              <wp:docPr id="11" name="_x005F_x0000_s 3"/>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14</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3"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14</w:t>
                    </w:r>
                    <w:r>
                      <w:rPr>
                        <w:sz w:val="22"/>
                        <w:szCs w:val="22"/>
                      </w:rPr>
                      <w:fldChar w:fldCharType="end"/>
                    </w:r>
                  </w:p>
                  <w:p>
                    <w:pPr>
                      <w:pStyle w:val="user4"/>
                      <w:rPr/>
                    </w:pPr>
                    <w:r>
                      <w:rPr/>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31">
              <wp:simplePos x="0" y="0"/>
              <wp:positionH relativeFrom="page">
                <wp:posOffset>3994150</wp:posOffset>
              </wp:positionH>
              <wp:positionV relativeFrom="page">
                <wp:posOffset>224790</wp:posOffset>
              </wp:positionV>
              <wp:extent cx="285115" cy="231140"/>
              <wp:effectExtent l="0" t="0" r="0" b="0"/>
              <wp:wrapNone/>
              <wp:docPr id="12" name="_x005F_x0000_s 3"/>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14</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3"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14</w:t>
                    </w:r>
                    <w:r>
                      <w:rPr>
                        <w:sz w:val="22"/>
                        <w:szCs w:val="22"/>
                      </w:rPr>
                      <w:fldChar w:fldCharType="end"/>
                    </w:r>
                  </w:p>
                  <w:p>
                    <w:pPr>
                      <w:pStyle w:val="user4"/>
                      <w:rPr/>
                    </w:pPr>
                    <w:r>
                      <w:rPr/>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37">
              <wp:simplePos x="0" y="0"/>
              <wp:positionH relativeFrom="page">
                <wp:posOffset>3994150</wp:posOffset>
              </wp:positionH>
              <wp:positionV relativeFrom="page">
                <wp:posOffset>224790</wp:posOffset>
              </wp:positionV>
              <wp:extent cx="285115" cy="231140"/>
              <wp:effectExtent l="0" t="0" r="0" b="0"/>
              <wp:wrapNone/>
              <wp:docPr id="13" name="_x005F_x0000_s 4"/>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4"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p>
                    <w:pPr>
                      <w:pStyle w:val="user4"/>
                      <w:rPr/>
                    </w:pPr>
                    <w:r>
                      <w:rPr/>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37">
              <wp:simplePos x="0" y="0"/>
              <wp:positionH relativeFrom="page">
                <wp:posOffset>3994150</wp:posOffset>
              </wp:positionH>
              <wp:positionV relativeFrom="page">
                <wp:posOffset>224790</wp:posOffset>
              </wp:positionV>
              <wp:extent cx="285115" cy="231140"/>
              <wp:effectExtent l="0" t="0" r="0" b="0"/>
              <wp:wrapNone/>
              <wp:docPr id="14" name="_x005F_x0000_s 4"/>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4"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p>
                    <w:pPr>
                      <w:pStyle w:val="user4"/>
                      <w:rPr/>
                    </w:pPr>
                    <w:r>
                      <w:rPr/>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44">
              <wp:simplePos x="0" y="0"/>
              <wp:positionH relativeFrom="page">
                <wp:posOffset>3994150</wp:posOffset>
              </wp:positionH>
              <wp:positionV relativeFrom="page">
                <wp:posOffset>224790</wp:posOffset>
              </wp:positionV>
              <wp:extent cx="285115" cy="231140"/>
              <wp:effectExtent l="0" t="0" r="0" b="0"/>
              <wp:wrapNone/>
              <wp:docPr id="15" name="_x005F_x0000_s 5"/>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5"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p>
                    <w:pPr>
                      <w:pStyle w:val="user4"/>
                      <w:rPr/>
                    </w:pPr>
                    <w:r>
                      <w:rPr/>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44">
              <wp:simplePos x="0" y="0"/>
              <wp:positionH relativeFrom="page">
                <wp:posOffset>3994150</wp:posOffset>
              </wp:positionH>
              <wp:positionV relativeFrom="page">
                <wp:posOffset>224790</wp:posOffset>
              </wp:positionV>
              <wp:extent cx="285115" cy="231140"/>
              <wp:effectExtent l="0" t="0" r="0" b="0"/>
              <wp:wrapNone/>
              <wp:docPr id="16" name="_x005F_x0000_s 5"/>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5"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p>
                    <w:pPr>
                      <w:pStyle w:val="user4"/>
                      <w:rPr/>
                    </w:pPr>
                    <w:r>
                      <w:rPr/>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49">
              <wp:simplePos x="0" y="0"/>
              <wp:positionH relativeFrom="page">
                <wp:posOffset>3994150</wp:posOffset>
              </wp:positionH>
              <wp:positionV relativeFrom="page">
                <wp:posOffset>224790</wp:posOffset>
              </wp:positionV>
              <wp:extent cx="285115" cy="231140"/>
              <wp:effectExtent l="0" t="0" r="0" b="0"/>
              <wp:wrapNone/>
              <wp:docPr id="17" name="_x005F_x0000_s 6"/>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6"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p>
                    <w:pPr>
                      <w:pStyle w:val="user4"/>
                      <w:rPr/>
                    </w:pPr>
                    <w:r>
                      <w:rPr/>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49">
              <wp:simplePos x="0" y="0"/>
              <wp:positionH relativeFrom="page">
                <wp:posOffset>3994150</wp:posOffset>
              </wp:positionH>
              <wp:positionV relativeFrom="page">
                <wp:posOffset>224790</wp:posOffset>
              </wp:positionV>
              <wp:extent cx="285115" cy="231140"/>
              <wp:effectExtent l="0" t="0" r="0" b="0"/>
              <wp:wrapNone/>
              <wp:docPr id="18" name="_x005F_x0000_s 6"/>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6"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p>
                    <w:pPr>
                      <w:pStyle w:val="user4"/>
                      <w:rPr/>
                    </w:pPr>
                    <w:r>
                      <w:rPr/>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55">
              <wp:simplePos x="0" y="0"/>
              <wp:positionH relativeFrom="page">
                <wp:posOffset>3994150</wp:posOffset>
              </wp:positionH>
              <wp:positionV relativeFrom="page">
                <wp:posOffset>224790</wp:posOffset>
              </wp:positionV>
              <wp:extent cx="285115" cy="231140"/>
              <wp:effectExtent l="0" t="0" r="0" b="0"/>
              <wp:wrapNone/>
              <wp:docPr id="19" name="_x005F_x0000_s 7"/>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7"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p>
                    <w:pPr>
                      <w:pStyle w:val="user4"/>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55">
              <wp:simplePos x="0" y="0"/>
              <wp:positionH relativeFrom="page">
                <wp:posOffset>3994150</wp:posOffset>
              </wp:positionH>
              <wp:positionV relativeFrom="page">
                <wp:posOffset>224790</wp:posOffset>
              </wp:positionV>
              <wp:extent cx="285115" cy="231140"/>
              <wp:effectExtent l="0" t="0" r="0" b="0"/>
              <wp:wrapNone/>
              <wp:docPr id="20" name="_x005F_x0000_s 7"/>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7"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p>
                    <w:pPr>
                      <w:pStyle w:val="user4"/>
                      <w:rPr/>
                    </w:pPr>
                    <w:r>
                      <w:rPr/>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61">
              <wp:simplePos x="0" y="0"/>
              <wp:positionH relativeFrom="page">
                <wp:posOffset>3994150</wp:posOffset>
              </wp:positionH>
              <wp:positionV relativeFrom="page">
                <wp:posOffset>224790</wp:posOffset>
              </wp:positionV>
              <wp:extent cx="285115" cy="231140"/>
              <wp:effectExtent l="0" t="0" r="0" b="0"/>
              <wp:wrapNone/>
              <wp:docPr id="21" name="_x005F_x0000_s 8"/>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8"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p>
                    <w:pPr>
                      <w:pStyle w:val="user4"/>
                      <w:rPr/>
                    </w:pPr>
                    <w:r>
                      <w:rPr/>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61">
              <wp:simplePos x="0" y="0"/>
              <wp:positionH relativeFrom="page">
                <wp:posOffset>3994150</wp:posOffset>
              </wp:positionH>
              <wp:positionV relativeFrom="page">
                <wp:posOffset>224790</wp:posOffset>
              </wp:positionV>
              <wp:extent cx="285115" cy="231140"/>
              <wp:effectExtent l="0" t="0" r="0" b="0"/>
              <wp:wrapNone/>
              <wp:docPr id="22" name="_x005F_x0000_s 8"/>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8"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p>
                    <w:pPr>
                      <w:pStyle w:val="user4"/>
                      <w:rPr/>
                    </w:pPr>
                    <w:r>
                      <w:rPr/>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67">
              <wp:simplePos x="0" y="0"/>
              <wp:positionH relativeFrom="page">
                <wp:posOffset>3994150</wp:posOffset>
              </wp:positionH>
              <wp:positionV relativeFrom="page">
                <wp:posOffset>224790</wp:posOffset>
              </wp:positionV>
              <wp:extent cx="285115" cy="231140"/>
              <wp:effectExtent l="0" t="0" r="0" b="0"/>
              <wp:wrapNone/>
              <wp:docPr id="23" name="_x005F_x0000_s 9"/>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9"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p>
                    <w:pPr>
                      <w:pStyle w:val="user4"/>
                      <w:rPr/>
                    </w:pPr>
                    <w:r>
                      <w:rPr/>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67">
              <wp:simplePos x="0" y="0"/>
              <wp:positionH relativeFrom="page">
                <wp:posOffset>3994150</wp:posOffset>
              </wp:positionH>
              <wp:positionV relativeFrom="page">
                <wp:posOffset>224790</wp:posOffset>
              </wp:positionV>
              <wp:extent cx="285115" cy="231140"/>
              <wp:effectExtent l="0" t="0" r="0" b="0"/>
              <wp:wrapNone/>
              <wp:docPr id="24" name="_x005F_x0000_s 9"/>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9"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p>
                    <w:pPr>
                      <w:pStyle w:val="user4"/>
                      <w:rPr/>
                    </w:pPr>
                    <w:r>
                      <w:rPr/>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72">
              <wp:simplePos x="0" y="0"/>
              <wp:positionH relativeFrom="page">
                <wp:posOffset>3994150</wp:posOffset>
              </wp:positionH>
              <wp:positionV relativeFrom="page">
                <wp:posOffset>224790</wp:posOffset>
              </wp:positionV>
              <wp:extent cx="285115" cy="231140"/>
              <wp:effectExtent l="0" t="0" r="0" b="0"/>
              <wp:wrapNone/>
              <wp:docPr id="25" name="_x005F_x0000_s 10"/>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35</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0"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35</w:t>
                    </w:r>
                    <w:r>
                      <w:rPr>
                        <w:sz w:val="22"/>
                        <w:szCs w:val="22"/>
                      </w:rPr>
                      <w:fldChar w:fldCharType="end"/>
                    </w:r>
                  </w:p>
                  <w:p>
                    <w:pPr>
                      <w:pStyle w:val="user4"/>
                      <w:rPr/>
                    </w:pPr>
                    <w:r>
                      <w:rPr/>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72">
              <wp:simplePos x="0" y="0"/>
              <wp:positionH relativeFrom="page">
                <wp:posOffset>3994150</wp:posOffset>
              </wp:positionH>
              <wp:positionV relativeFrom="page">
                <wp:posOffset>224790</wp:posOffset>
              </wp:positionV>
              <wp:extent cx="285115" cy="231140"/>
              <wp:effectExtent l="0" t="0" r="0" b="0"/>
              <wp:wrapNone/>
              <wp:docPr id="26" name="_x005F_x0000_s 10"/>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35</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0"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35</w:t>
                    </w:r>
                    <w:r>
                      <w:rPr>
                        <w:sz w:val="22"/>
                        <w:szCs w:val="22"/>
                      </w:rPr>
                      <w:fldChar w:fldCharType="end"/>
                    </w:r>
                  </w:p>
                  <w:p>
                    <w:pPr>
                      <w:pStyle w:val="user4"/>
                      <w:rPr/>
                    </w:pPr>
                    <w:r>
                      <w:rPr/>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7">
              <wp:simplePos x="0" y="0"/>
              <wp:positionH relativeFrom="page">
                <wp:posOffset>0</wp:posOffset>
              </wp:positionH>
              <wp:positionV relativeFrom="page">
                <wp:posOffset>0</wp:posOffset>
              </wp:positionV>
              <wp:extent cx="257810" cy="160655"/>
              <wp:effectExtent l="0" t="0" r="0" b="0"/>
              <wp:wrapNone/>
              <wp:docPr id="1" name="_x005F_x0000_s2053"/>
              <a:graphic xmlns:a="http://schemas.openxmlformats.org/drawingml/2006/main">
                <a:graphicData uri="http://schemas.microsoft.com/office/word/2010/wordprocessingShape">
                  <wps:wsp>
                    <wps:cNvSpPr/>
                    <wps:spPr>
                      <a:xfrm>
                        <a:off x="0" y="0"/>
                        <a:ext cx="257760" cy="16056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2053" path="m0,0l-2147483645,0l-2147483645,-2147483646l0,-2147483646xe" stroked="f" o:allowincell="f" style="position:absolute;margin-left:0pt;margin-top:0pt;width:20.25pt;height:12.6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pPr>
                      <w:pStyle w:val="user4"/>
                      <w:rPr/>
                    </w:pPr>
                    <w:r>
                      <w:rPr/>
                    </w:r>
                  </w:p>
                </w:txbxContent>
              </v:textbox>
              <w10:wrap type="none"/>
            </v:rect>
          </w:pict>
        </mc:Fallback>
      </mc:AlternateContent>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76">
              <wp:simplePos x="0" y="0"/>
              <wp:positionH relativeFrom="page">
                <wp:posOffset>3994150</wp:posOffset>
              </wp:positionH>
              <wp:positionV relativeFrom="page">
                <wp:posOffset>224790</wp:posOffset>
              </wp:positionV>
              <wp:extent cx="285115" cy="231140"/>
              <wp:effectExtent l="0" t="0" r="0" b="0"/>
              <wp:wrapNone/>
              <wp:docPr id="27" name="_x005F_x0000_s 11"/>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1"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p>
                    <w:pPr>
                      <w:pStyle w:val="user4"/>
                      <w:rPr/>
                    </w:pPr>
                    <w:r>
                      <w:rPr/>
                    </w:r>
                  </w:p>
                </w:txbxContent>
              </v:textbox>
              <w10:wrap type="none"/>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76">
              <wp:simplePos x="0" y="0"/>
              <wp:positionH relativeFrom="page">
                <wp:posOffset>3994150</wp:posOffset>
              </wp:positionH>
              <wp:positionV relativeFrom="page">
                <wp:posOffset>224790</wp:posOffset>
              </wp:positionV>
              <wp:extent cx="285115" cy="231140"/>
              <wp:effectExtent l="0" t="0" r="0" b="0"/>
              <wp:wrapNone/>
              <wp:docPr id="28" name="_x005F_x0000_s 11"/>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1"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p>
                    <w:pPr>
                      <w:pStyle w:val="user4"/>
                      <w:rPr/>
                    </w:pPr>
                    <w:r>
                      <w:rPr/>
                    </w:r>
                  </w:p>
                </w:txbxContent>
              </v:textbox>
              <w10:wrap type="none"/>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0">
              <wp:simplePos x="0" y="0"/>
              <wp:positionH relativeFrom="page">
                <wp:posOffset>3994150</wp:posOffset>
              </wp:positionH>
              <wp:positionV relativeFrom="page">
                <wp:posOffset>224790</wp:posOffset>
              </wp:positionV>
              <wp:extent cx="285115" cy="231140"/>
              <wp:effectExtent l="0" t="0" r="0" b="0"/>
              <wp:wrapNone/>
              <wp:docPr id="29" name="_x005F_x0000_s 12"/>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2"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p>
                    <w:pPr>
                      <w:pStyle w:val="user4"/>
                      <w:rPr/>
                    </w:pPr>
                    <w:r>
                      <w:rPr/>
                    </w:r>
                  </w:p>
                </w:txbxContent>
              </v:textbox>
              <w10:wrap type="none"/>
            </v:rect>
          </w:pict>
        </mc:Fallback>
      </mc:AlternateConten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0">
              <wp:simplePos x="0" y="0"/>
              <wp:positionH relativeFrom="page">
                <wp:posOffset>3994150</wp:posOffset>
              </wp:positionH>
              <wp:positionV relativeFrom="page">
                <wp:posOffset>224790</wp:posOffset>
              </wp:positionV>
              <wp:extent cx="285115" cy="231140"/>
              <wp:effectExtent l="0" t="0" r="0" b="0"/>
              <wp:wrapNone/>
              <wp:docPr id="30" name="_x005F_x0000_s 12"/>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2"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p>
                    <w:pPr>
                      <w:pStyle w:val="user4"/>
                      <w:rPr/>
                    </w:pPr>
                    <w:r>
                      <w:rPr/>
                    </w:r>
                  </w:p>
                </w:txbxContent>
              </v:textbox>
              <w10:wrap type="none"/>
            </v:rect>
          </w:pict>
        </mc:Fallback>
      </mc:AlternateContent>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6">
              <wp:simplePos x="0" y="0"/>
              <wp:positionH relativeFrom="page">
                <wp:posOffset>3994150</wp:posOffset>
              </wp:positionH>
              <wp:positionV relativeFrom="page">
                <wp:posOffset>224790</wp:posOffset>
              </wp:positionV>
              <wp:extent cx="285115" cy="231140"/>
              <wp:effectExtent l="0" t="0" r="0" b="0"/>
              <wp:wrapNone/>
              <wp:docPr id="31" name="_x005F_x0000_s 13"/>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3"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p>
                    <w:pPr>
                      <w:pStyle w:val="user4"/>
                      <w:rPr/>
                    </w:pPr>
                    <w:r>
                      <w:rPr/>
                    </w:r>
                  </w:p>
                </w:txbxContent>
              </v:textbox>
              <w10:wrap type="none"/>
            </v:rect>
          </w:pict>
        </mc:Fallback>
      </mc:AlternateContent>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6">
              <wp:simplePos x="0" y="0"/>
              <wp:positionH relativeFrom="page">
                <wp:posOffset>3994150</wp:posOffset>
              </wp:positionH>
              <wp:positionV relativeFrom="page">
                <wp:posOffset>224790</wp:posOffset>
              </wp:positionV>
              <wp:extent cx="285115" cy="231140"/>
              <wp:effectExtent l="0" t="0" r="0" b="0"/>
              <wp:wrapNone/>
              <wp:docPr id="32" name="_x005F_x0000_s 13"/>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3"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43</w:t>
                    </w:r>
                    <w:r>
                      <w:rPr>
                        <w:sz w:val="22"/>
                        <w:szCs w:val="22"/>
                      </w:rPr>
                      <w:fldChar w:fldCharType="end"/>
                    </w:r>
                  </w:p>
                  <w:p>
                    <w:pPr>
                      <w:pStyle w:val="user4"/>
                      <w:rPr/>
                    </w:pPr>
                    <w:r>
                      <w:rPr/>
                    </w:r>
                  </w:p>
                </w:txbxContent>
              </v:textbox>
              <w10:wrap type="none"/>
            </v:rect>
          </w:pict>
        </mc:Fallback>
      </mc:AlternateContent>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2">
              <wp:simplePos x="0" y="0"/>
              <wp:positionH relativeFrom="page">
                <wp:posOffset>3776345</wp:posOffset>
              </wp:positionH>
              <wp:positionV relativeFrom="page">
                <wp:posOffset>474980</wp:posOffset>
              </wp:positionV>
              <wp:extent cx="499110" cy="273050"/>
              <wp:effectExtent l="0" t="0" r="0" b="0"/>
              <wp:wrapNone/>
              <wp:docPr id="2" name="_x005F_x0000_s2052"/>
              <a:graphic xmlns:a="http://schemas.openxmlformats.org/drawingml/2006/main">
                <a:graphicData uri="http://schemas.microsoft.com/office/word/2010/wordprocessingShape">
                  <wps:wsp>
                    <wps:cNvSpPr/>
                    <wps:spPr>
                      <a:xfrm>
                        <a:off x="0" y="0"/>
                        <a:ext cx="498960" cy="272880"/>
                      </a:xfrm>
                      <a:prstGeom prst="rect">
                        <a:avLst/>
                      </a:prstGeom>
                      <a:noFill/>
                      <a:ln w="0">
                        <a:noFill/>
                      </a:ln>
                    </wps:spPr>
                    <wps:style>
                      <a:lnRef idx="0"/>
                      <a:fillRef idx="0"/>
                      <a:effectRef idx="0"/>
                      <a:fontRef idx="minor"/>
                    </wps:style>
                    <wps:txbx>
                      <w:txbxContent>
                        <w:p>
                          <w:pPr>
                            <w:pStyle w:val="26"/>
                            <w:shd w:val="clear" w:color="auto" w:fill="auto"/>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p>
                          <w:pPr>
                            <w:pStyle w:val="user4"/>
                            <w:jc w:val="center"/>
                            <w:rPr/>
                          </w:pPr>
                          <w:r>
                            <w:rPr/>
                          </w:r>
                        </w:p>
                      </w:txbxContent>
                    </wps:txbx>
                    <wps:bodyPr lIns="36360" rIns="36360" tIns="36360" bIns="36360" anchor="t" upright="1">
                      <a:noAutofit/>
                    </wps:bodyPr>
                  </wps:wsp>
                </a:graphicData>
              </a:graphic>
            </wp:anchor>
          </w:drawing>
        </mc:Choice>
        <mc:Fallback>
          <w:pict>
            <v:rect id="shape_0" ID="_x005F_x0000_s2052" path="m0,0l-2147483645,0l-2147483645,-2147483646l0,-2147483646xe" stroked="f" o:allowincell="f" style="position:absolute;margin-left:297.35pt;margin-top:37.4pt;width:39.25pt;height:21.45pt;mso-wrap-style:square;v-text-anchor:top;mso-position-horizontal-relative:page;mso-position-vertical-relative:page">
              <v:fill o:detectmouseclick="t" on="false"/>
              <v:stroke color="#3465a4" joinstyle="round" endcap="flat"/>
              <v:textbox>
                <w:txbxContent>
                  <w:p>
                    <w:pPr>
                      <w:pStyle w:val="26"/>
                      <w:shd w:val="clear" w:color="auto" w:fill="auto"/>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p>
                    <w:pPr>
                      <w:pStyle w:val="user4"/>
                      <w:jc w:val="center"/>
                      <w:rPr/>
                    </w:pPr>
                    <w:r>
                      <w:rPr/>
                    </w:r>
                  </w:p>
                </w:txbxContent>
              </v:textbox>
              <w10:wrap type="none"/>
            </v:rect>
          </w:pict>
        </mc:Fallback>
      </mc:AlternateContent>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93">
              <wp:simplePos x="0" y="0"/>
              <wp:positionH relativeFrom="page">
                <wp:posOffset>3994150</wp:posOffset>
              </wp:positionH>
              <wp:positionV relativeFrom="page">
                <wp:posOffset>224790</wp:posOffset>
              </wp:positionV>
              <wp:extent cx="285115" cy="231140"/>
              <wp:effectExtent l="0" t="0" r="0" b="0"/>
              <wp:wrapNone/>
              <wp:docPr id="33" name="_x005F_x0000_s 14"/>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46</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4"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46</w:t>
                    </w:r>
                    <w:r>
                      <w:rPr>
                        <w:sz w:val="22"/>
                        <w:szCs w:val="22"/>
                      </w:rPr>
                      <w:fldChar w:fldCharType="end"/>
                    </w:r>
                  </w:p>
                  <w:p>
                    <w:pPr>
                      <w:pStyle w:val="user4"/>
                      <w:rPr/>
                    </w:pPr>
                    <w:r>
                      <w:rPr/>
                    </w:r>
                  </w:p>
                </w:txbxContent>
              </v:textbox>
              <w10:wrap type="none"/>
            </v:rect>
          </w:pict>
        </mc:Fallback>
      </mc:AlternateContent>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93">
              <wp:simplePos x="0" y="0"/>
              <wp:positionH relativeFrom="page">
                <wp:posOffset>3994150</wp:posOffset>
              </wp:positionH>
              <wp:positionV relativeFrom="page">
                <wp:posOffset>224790</wp:posOffset>
              </wp:positionV>
              <wp:extent cx="285115" cy="231140"/>
              <wp:effectExtent l="0" t="0" r="0" b="0"/>
              <wp:wrapNone/>
              <wp:docPr id="34" name="_x005F_x0000_s 14"/>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46</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4"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46</w:t>
                    </w:r>
                    <w:r>
                      <w:rPr>
                        <w:sz w:val="22"/>
                        <w:szCs w:val="22"/>
                      </w:rPr>
                      <w:fldChar w:fldCharType="end"/>
                    </w:r>
                  </w:p>
                  <w:p>
                    <w:pPr>
                      <w:pStyle w:val="user4"/>
                      <w:rPr/>
                    </w:pPr>
                    <w:r>
                      <w:rPr/>
                    </w:r>
                  </w:p>
                </w:txbxContent>
              </v:textbox>
              <w10:wrap type="none"/>
            </v:rect>
          </w:pict>
        </mc:Fallback>
      </mc:AlternateContent>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99">
              <wp:simplePos x="0" y="0"/>
              <wp:positionH relativeFrom="page">
                <wp:posOffset>3994150</wp:posOffset>
              </wp:positionH>
              <wp:positionV relativeFrom="page">
                <wp:posOffset>224790</wp:posOffset>
              </wp:positionV>
              <wp:extent cx="285115" cy="231140"/>
              <wp:effectExtent l="0" t="0" r="0" b="0"/>
              <wp:wrapNone/>
              <wp:docPr id="35" name="_x005F_x0000_s 15"/>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5"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49</w:t>
                    </w:r>
                    <w:r>
                      <w:rPr>
                        <w:sz w:val="22"/>
                        <w:szCs w:val="22"/>
                      </w:rPr>
                      <w:fldChar w:fldCharType="end"/>
                    </w:r>
                  </w:p>
                  <w:p>
                    <w:pPr>
                      <w:pStyle w:val="user4"/>
                      <w:rPr/>
                    </w:pPr>
                    <w:r>
                      <w:rPr/>
                    </w:r>
                  </w:p>
                </w:txbxContent>
              </v:textbox>
              <w10:wrap type="none"/>
            </v:rect>
          </w:pict>
        </mc:Fallback>
      </mc:AlternateContent>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99">
              <wp:simplePos x="0" y="0"/>
              <wp:positionH relativeFrom="page">
                <wp:posOffset>3994150</wp:posOffset>
              </wp:positionH>
              <wp:positionV relativeFrom="page">
                <wp:posOffset>224790</wp:posOffset>
              </wp:positionV>
              <wp:extent cx="285115" cy="231140"/>
              <wp:effectExtent l="0" t="0" r="0" b="0"/>
              <wp:wrapNone/>
              <wp:docPr id="36" name="_x005F_x0000_s 15"/>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49</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5"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49</w:t>
                    </w:r>
                    <w:r>
                      <w:rPr>
                        <w:sz w:val="22"/>
                        <w:szCs w:val="22"/>
                      </w:rPr>
                      <w:fldChar w:fldCharType="end"/>
                    </w:r>
                  </w:p>
                  <w:p>
                    <w:pPr>
                      <w:pStyle w:val="user4"/>
                      <w:rPr/>
                    </w:pPr>
                    <w:r>
                      <w:rPr/>
                    </w:r>
                  </w:p>
                </w:txbxContent>
              </v:textbox>
              <w10:wrap type="none"/>
            </v:rect>
          </w:pict>
        </mc:Fallback>
      </mc:AlternateContent>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05">
              <wp:simplePos x="0" y="0"/>
              <wp:positionH relativeFrom="page">
                <wp:posOffset>3994150</wp:posOffset>
              </wp:positionH>
              <wp:positionV relativeFrom="page">
                <wp:posOffset>224790</wp:posOffset>
              </wp:positionV>
              <wp:extent cx="285115" cy="231140"/>
              <wp:effectExtent l="0" t="0" r="0" b="0"/>
              <wp:wrapNone/>
              <wp:docPr id="37" name="_x005F_x0000_s 16"/>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52</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6"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52</w:t>
                    </w:r>
                    <w:r>
                      <w:rPr>
                        <w:sz w:val="22"/>
                        <w:szCs w:val="22"/>
                      </w:rPr>
                      <w:fldChar w:fldCharType="end"/>
                    </w:r>
                  </w:p>
                  <w:p>
                    <w:pPr>
                      <w:pStyle w:val="user4"/>
                      <w:rPr/>
                    </w:pPr>
                    <w:r>
                      <w:rPr/>
                    </w:r>
                  </w:p>
                </w:txbxContent>
              </v:textbox>
              <w10:wrap type="none"/>
            </v:rect>
          </w:pict>
        </mc:Fallback>
      </mc:AlternateContent>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05">
              <wp:simplePos x="0" y="0"/>
              <wp:positionH relativeFrom="page">
                <wp:posOffset>3994150</wp:posOffset>
              </wp:positionH>
              <wp:positionV relativeFrom="page">
                <wp:posOffset>224790</wp:posOffset>
              </wp:positionV>
              <wp:extent cx="285115" cy="231140"/>
              <wp:effectExtent l="0" t="0" r="0" b="0"/>
              <wp:wrapNone/>
              <wp:docPr id="38" name="_x005F_x0000_s 16"/>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52</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6"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52</w:t>
                    </w:r>
                    <w:r>
                      <w:rPr>
                        <w:sz w:val="22"/>
                        <w:szCs w:val="22"/>
                      </w:rPr>
                      <w:fldChar w:fldCharType="end"/>
                    </w:r>
                  </w:p>
                  <w:p>
                    <w:pPr>
                      <w:pStyle w:val="user4"/>
                      <w:rPr/>
                    </w:pPr>
                    <w:r>
                      <w:rPr/>
                    </w:r>
                  </w:p>
                </w:txbxContent>
              </v:textbox>
              <w10:wrap type="none"/>
            </v:rect>
          </w:pict>
        </mc:Fallback>
      </mc:AlternateContent>
    </w:r>
  </w:p>
</w:hdr>
</file>

<file path=word/header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09">
              <wp:simplePos x="0" y="0"/>
              <wp:positionH relativeFrom="page">
                <wp:posOffset>3994150</wp:posOffset>
              </wp:positionH>
              <wp:positionV relativeFrom="page">
                <wp:posOffset>224790</wp:posOffset>
              </wp:positionV>
              <wp:extent cx="285115" cy="231140"/>
              <wp:effectExtent l="0" t="0" r="0" b="0"/>
              <wp:wrapNone/>
              <wp:docPr id="39" name="_x005F_x0000_s 17"/>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7"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53</w:t>
                    </w:r>
                    <w:r>
                      <w:rPr>
                        <w:sz w:val="22"/>
                        <w:szCs w:val="22"/>
                      </w:rPr>
                      <w:fldChar w:fldCharType="end"/>
                    </w:r>
                  </w:p>
                  <w:p>
                    <w:pPr>
                      <w:pStyle w:val="user4"/>
                      <w:rPr/>
                    </w:pPr>
                    <w:r>
                      <w:rPr/>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2">
              <wp:simplePos x="0" y="0"/>
              <wp:positionH relativeFrom="page">
                <wp:posOffset>3776345</wp:posOffset>
              </wp:positionH>
              <wp:positionV relativeFrom="page">
                <wp:posOffset>474980</wp:posOffset>
              </wp:positionV>
              <wp:extent cx="499110" cy="273050"/>
              <wp:effectExtent l="0" t="0" r="0" b="0"/>
              <wp:wrapNone/>
              <wp:docPr id="3" name="_x005F_x0000_s2052"/>
              <a:graphic xmlns:a="http://schemas.openxmlformats.org/drawingml/2006/main">
                <a:graphicData uri="http://schemas.microsoft.com/office/word/2010/wordprocessingShape">
                  <wps:wsp>
                    <wps:cNvSpPr/>
                    <wps:spPr>
                      <a:xfrm>
                        <a:off x="0" y="0"/>
                        <a:ext cx="498960" cy="272880"/>
                      </a:xfrm>
                      <a:prstGeom prst="rect">
                        <a:avLst/>
                      </a:prstGeom>
                      <a:noFill/>
                      <a:ln w="0">
                        <a:noFill/>
                      </a:ln>
                    </wps:spPr>
                    <wps:style>
                      <a:lnRef idx="0"/>
                      <a:fillRef idx="0"/>
                      <a:effectRef idx="0"/>
                      <a:fontRef idx="minor"/>
                    </wps:style>
                    <wps:txbx>
                      <w:txbxContent>
                        <w:p>
                          <w:pPr>
                            <w:pStyle w:val="26"/>
                            <w:shd w:val="clear" w:color="auto" w:fill="auto"/>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p>
                          <w:pPr>
                            <w:pStyle w:val="user4"/>
                            <w:jc w:val="center"/>
                            <w:rPr/>
                          </w:pPr>
                          <w:r>
                            <w:rPr/>
                          </w:r>
                        </w:p>
                      </w:txbxContent>
                    </wps:txbx>
                    <wps:bodyPr lIns="36360" rIns="36360" tIns="36360" bIns="36360" anchor="t" upright="1">
                      <a:noAutofit/>
                    </wps:bodyPr>
                  </wps:wsp>
                </a:graphicData>
              </a:graphic>
            </wp:anchor>
          </w:drawing>
        </mc:Choice>
        <mc:Fallback>
          <w:pict>
            <v:rect id="shape_0" ID="_x005F_x0000_s2052" path="m0,0l-2147483645,0l-2147483645,-2147483646l0,-2147483646xe" stroked="f" o:allowincell="f" style="position:absolute;margin-left:297.35pt;margin-top:37.4pt;width:39.25pt;height:21.45pt;mso-wrap-style:square;v-text-anchor:top;mso-position-horizontal-relative:page;mso-position-vertical-relative:page">
              <v:fill o:detectmouseclick="t" on="false"/>
              <v:stroke color="#3465a4" joinstyle="round" endcap="flat"/>
              <v:textbox>
                <w:txbxContent>
                  <w:p>
                    <w:pPr>
                      <w:pStyle w:val="26"/>
                      <w:shd w:val="clear" w:color="auto" w:fill="auto"/>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p>
                    <w:pPr>
                      <w:pStyle w:val="user4"/>
                      <w:jc w:val="center"/>
                      <w:rPr/>
                    </w:pPr>
                    <w:r>
                      <w:rPr/>
                    </w:r>
                  </w:p>
                </w:txbxContent>
              </v:textbox>
              <w10:wrap type="none"/>
            </v:rect>
          </w:pict>
        </mc:Fallback>
      </mc:AlternateContent>
    </w:r>
  </w:p>
</w:hdr>
</file>

<file path=word/header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109">
              <wp:simplePos x="0" y="0"/>
              <wp:positionH relativeFrom="page">
                <wp:posOffset>3994150</wp:posOffset>
              </wp:positionH>
              <wp:positionV relativeFrom="page">
                <wp:posOffset>224790</wp:posOffset>
              </wp:positionV>
              <wp:extent cx="285115" cy="231140"/>
              <wp:effectExtent l="0" t="0" r="0" b="0"/>
              <wp:wrapNone/>
              <wp:docPr id="40" name="_x005F_x0000_s 17"/>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 17"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53</w:t>
                    </w:r>
                    <w:r>
                      <w:rPr>
                        <w:sz w:val="22"/>
                        <w:szCs w:val="22"/>
                      </w:rPr>
                      <w:fldChar w:fldCharType="end"/>
                    </w:r>
                  </w:p>
                  <w:p>
                    <w:pPr>
                      <w:pStyle w:val="user4"/>
                      <w:rPr/>
                    </w:pPr>
                    <w:r>
                      <w:rPr/>
                    </w:r>
                  </w:p>
                </w:txbxContent>
              </v:textbox>
              <w10:wrap type="none"/>
            </v:rect>
          </w:pict>
        </mc:Fallback>
      </mc:AlternateContent>
    </w:r>
  </w:p>
</w:hdr>
</file>

<file path=word/header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5">
              <wp:simplePos x="0" y="0"/>
              <wp:positionH relativeFrom="page">
                <wp:posOffset>0</wp:posOffset>
              </wp:positionH>
              <wp:positionV relativeFrom="page">
                <wp:posOffset>0</wp:posOffset>
              </wp:positionV>
              <wp:extent cx="303530" cy="204470"/>
              <wp:effectExtent l="0" t="0" r="0" b="0"/>
              <wp:wrapNone/>
              <wp:docPr id="41" name="_x005F_x0000_s2049"/>
              <a:graphic xmlns:a="http://schemas.openxmlformats.org/drawingml/2006/main">
                <a:graphicData uri="http://schemas.microsoft.com/office/word/2010/wordprocessingShape">
                  <wps:wsp>
                    <wps:cNvSpPr/>
                    <wps:spPr>
                      <a:xfrm>
                        <a:off x="0" y="0"/>
                        <a:ext cx="303480" cy="204480"/>
                      </a:xfrm>
                      <a:prstGeom prst="rect">
                        <a:avLst/>
                      </a:prstGeom>
                      <a:noFill/>
                      <a:ln w="0">
                        <a:noFill/>
                      </a:ln>
                    </wps:spPr>
                    <wps:style>
                      <a:lnRef idx="0"/>
                      <a:fillRef idx="0"/>
                      <a:effectRef idx="0"/>
                      <a:fontRef idx="minor"/>
                    </wps:style>
                    <wps:txbx>
                      <w:txbxContent>
                        <w:p>
                          <w:pPr>
                            <w:pStyle w:val="Style28"/>
                            <w:shd w:val="clear" w:color="auto" w:fill="auto"/>
                            <w:rPr>
                              <w:sz w:val="28"/>
                              <w:szCs w:val="28"/>
                            </w:rPr>
                          </w:pPr>
                          <w:r>
                            <w:rPr>
                              <w:sz w:val="28"/>
                              <w:szCs w:val="28"/>
                            </w:rPr>
                            <w:t>2</w:t>
                          </w:r>
                        </w:p>
                        <w:p>
                          <w:pPr>
                            <w:pStyle w:val="user4"/>
                            <w:rPr/>
                          </w:pPr>
                          <w:r>
                            <w:rPr/>
                          </w:r>
                        </w:p>
                      </w:txbxContent>
                    </wps:txbx>
                    <wps:bodyPr lIns="36360" rIns="36360" tIns="36360" bIns="36360" anchor="t" upright="1">
                      <a:noAutofit/>
                    </wps:bodyPr>
                  </wps:wsp>
                </a:graphicData>
              </a:graphic>
            </wp:anchor>
          </w:drawing>
        </mc:Choice>
        <mc:Fallback>
          <w:pict>
            <v:rect id="shape_0" ID="_x005F_x0000_s2049" path="m0,0l-2147483645,0l-2147483645,-2147483646l0,-2147483646xe" stroked="f" o:allowincell="f" style="position:absolute;margin-left:0pt;margin-top:0pt;width:23.85pt;height:16.05pt;mso-wrap-style:square;v-text-anchor:top;mso-position-horizontal-relative:page;mso-position-vertical-relative:page">
              <v:fill o:detectmouseclick="t" on="false"/>
              <v:stroke color="#3465a4" joinstyle="round" endcap="flat"/>
              <v:textbox>
                <w:txbxContent>
                  <w:p>
                    <w:pPr>
                      <w:pStyle w:val="Style28"/>
                      <w:shd w:val="clear" w:color="auto" w:fill="auto"/>
                      <w:rPr>
                        <w:sz w:val="28"/>
                        <w:szCs w:val="28"/>
                      </w:rPr>
                    </w:pPr>
                    <w:r>
                      <w:rPr>
                        <w:sz w:val="28"/>
                        <w:szCs w:val="28"/>
                      </w:rPr>
                      <w:t>2</w:t>
                    </w:r>
                  </w:p>
                  <w:p>
                    <w:pPr>
                      <w:pStyle w:val="user4"/>
                      <w:rPr/>
                    </w:pPr>
                    <w:r>
                      <w:rPr/>
                    </w:r>
                  </w:p>
                </w:txbxContent>
              </v:textbox>
              <w10:wrap type="none"/>
            </v:rect>
          </w:pict>
        </mc:Fallback>
      </mc:AlternateContent>
    </w:r>
  </w:p>
</w:hdr>
</file>

<file path=word/header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0"/>
        <w:szCs w:val="20"/>
      </w:rPr>
    </w:pPr>
    <w:r>
      <w:rPr>
        <w:rFonts w:eastAsia="Times New Roman" w:cs="Times New Roman" w:ascii="Times New Roman" w:hAnsi="Times New Roman"/>
        <w:sz w:val="20"/>
        <w:szCs w:val="20"/>
      </w:rPr>
      <w:fldChar w:fldCharType="begin"/>
    </w:r>
    <w:r>
      <w:rPr>
        <w:sz w:val="20"/>
        <w:szCs w:val="20"/>
        <w:rFonts w:eastAsia="Times New Roman" w:cs="Times New Roman" w:ascii="Times New Roman" w:hAnsi="Times New Roman"/>
      </w:rPr>
      <w:instrText xml:space="preserve"> PAGE </w:instrText>
    </w:r>
    <w:r>
      <w:rPr>
        <w:sz w:val="20"/>
        <w:szCs w:val="20"/>
        <w:rFonts w:eastAsia="Times New Roman" w:cs="Times New Roman" w:ascii="Times New Roman" w:hAnsi="Times New Roman"/>
      </w:rPr>
      <w:fldChar w:fldCharType="separate"/>
    </w:r>
    <w:r>
      <w:rPr>
        <w:sz w:val="20"/>
        <w:szCs w:val="20"/>
        <w:rFonts w:eastAsia="Times New Roman" w:cs="Times New Roman" w:ascii="Times New Roman" w:hAnsi="Times New Roman"/>
      </w:rPr>
      <w:t>58</w:t>
    </w:r>
    <w:r>
      <w:rPr>
        <w:sz w:val="20"/>
        <w:szCs w:val="20"/>
        <w:rFonts w:eastAsia="Times New Roman" w:cs="Times New Roman" w:ascii="Times New Roman" w:hAnsi="Times New Roman"/>
      </w:rPr>
      <w:fldChar w:fldCharType="end"/>
    </w:r>
  </w:p>
</w:hdr>
</file>

<file path=word/header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0"/>
        <w:szCs w:val="20"/>
      </w:rPr>
    </w:pPr>
    <w:r>
      <w:rPr>
        <w:rFonts w:eastAsia="Times New Roman" w:cs="Times New Roman" w:ascii="Times New Roman" w:hAnsi="Times New Roman"/>
        <w:sz w:val="20"/>
        <w:szCs w:val="20"/>
      </w:rPr>
      <w:fldChar w:fldCharType="begin"/>
    </w:r>
    <w:r>
      <w:rPr>
        <w:sz w:val="20"/>
        <w:szCs w:val="20"/>
        <w:rFonts w:eastAsia="Times New Roman" w:cs="Times New Roman" w:ascii="Times New Roman" w:hAnsi="Times New Roman"/>
      </w:rPr>
      <w:instrText xml:space="preserve"> PAGE </w:instrText>
    </w:r>
    <w:r>
      <w:rPr>
        <w:sz w:val="20"/>
        <w:szCs w:val="20"/>
        <w:rFonts w:eastAsia="Times New Roman" w:cs="Times New Roman" w:ascii="Times New Roman" w:hAnsi="Times New Roman"/>
      </w:rPr>
      <w:fldChar w:fldCharType="separate"/>
    </w:r>
    <w:r>
      <w:rPr>
        <w:sz w:val="20"/>
        <w:szCs w:val="20"/>
        <w:rFonts w:eastAsia="Times New Roman" w:cs="Times New Roman" w:ascii="Times New Roman" w:hAnsi="Times New Roman"/>
      </w:rPr>
      <w:t>58</w:t>
    </w:r>
    <w:r>
      <w:rPr>
        <w:sz w:val="20"/>
        <w:szCs w:val="20"/>
        <w:rFonts w:eastAsia="Times New Roman" w:cs="Times New Roman"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6">
              <wp:simplePos x="0" y="0"/>
              <wp:positionH relativeFrom="page">
                <wp:posOffset>0</wp:posOffset>
              </wp:positionH>
              <wp:positionV relativeFrom="page">
                <wp:posOffset>0</wp:posOffset>
              </wp:positionV>
              <wp:extent cx="257810" cy="160655"/>
              <wp:effectExtent l="0" t="0" r="0" b="0"/>
              <wp:wrapNone/>
              <wp:docPr id="4" name="_x005F_x0000_s2051"/>
              <a:graphic xmlns:a="http://schemas.openxmlformats.org/drawingml/2006/main">
                <a:graphicData uri="http://schemas.microsoft.com/office/word/2010/wordprocessingShape">
                  <wps:wsp>
                    <wps:cNvSpPr/>
                    <wps:spPr>
                      <a:xfrm>
                        <a:off x="0" y="0"/>
                        <a:ext cx="257760" cy="16056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2051" path="m0,0l-2147483645,0l-2147483645,-2147483646l0,-2147483646xe" stroked="f" o:allowincell="f" style="position:absolute;margin-left:0pt;margin-top:0pt;width:20.25pt;height:12.6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pPr>
                      <w:pStyle w:val="user4"/>
                      <w:rPr/>
                    </w:pPr>
                    <w:r>
                      <w:rPr/>
                    </w:r>
                  </w:p>
                </w:txbxContent>
              </v:textbox>
              <w10:wrap type="none"/>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
              <wp:simplePos x="0" y="0"/>
              <wp:positionH relativeFrom="page">
                <wp:posOffset>3994150</wp:posOffset>
              </wp:positionH>
              <wp:positionV relativeFrom="page">
                <wp:posOffset>224790</wp:posOffset>
              </wp:positionV>
              <wp:extent cx="285115" cy="231140"/>
              <wp:effectExtent l="0" t="0" r="0" b="0"/>
              <wp:wrapNone/>
              <wp:docPr id="5" name="_x005F_x0000_s2050"/>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2050"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w:t>
                    </w:r>
                    <w:r>
                      <w:rPr>
                        <w:sz w:val="22"/>
                        <w:szCs w:val="22"/>
                      </w:rPr>
                      <w:fldChar w:fldCharType="end"/>
                    </w:r>
                  </w:p>
                  <w:p>
                    <w:pPr>
                      <w:pStyle w:val="user4"/>
                      <w:rPr/>
                    </w:pPr>
                    <w:r>
                      <w:rPr/>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4"/>
      <w:rPr/>
    </w:pPr>
    <w:r>
      <w:rPr/>
      <mc:AlternateContent>
        <mc:Choice Requires="wps">
          <w:drawing>
            <wp:anchor behindDoc="1" distT="0" distB="0" distL="0" distR="0" simplePos="0" locked="0" layoutInCell="0" allowOverlap="1" relativeHeight="8">
              <wp:simplePos x="0" y="0"/>
              <wp:positionH relativeFrom="page">
                <wp:posOffset>3994150</wp:posOffset>
              </wp:positionH>
              <wp:positionV relativeFrom="page">
                <wp:posOffset>224790</wp:posOffset>
              </wp:positionV>
              <wp:extent cx="285115" cy="231140"/>
              <wp:effectExtent l="0" t="0" r="0" b="0"/>
              <wp:wrapNone/>
              <wp:docPr id="6" name="_x005F_x0000_s2050"/>
              <a:graphic xmlns:a="http://schemas.openxmlformats.org/drawingml/2006/main">
                <a:graphicData uri="http://schemas.microsoft.com/office/word/2010/wordprocessingShape">
                  <wps:wsp>
                    <wps:cNvSpPr/>
                    <wps:spPr>
                      <a:xfrm>
                        <a:off x="0" y="0"/>
                        <a:ext cx="285120" cy="231120"/>
                      </a:xfrm>
                      <a:prstGeom prst="rect">
                        <a:avLst/>
                      </a:prstGeom>
                      <a:noFill/>
                      <a:ln w="0">
                        <a:noFill/>
                      </a:ln>
                    </wps:spPr>
                    <wps:style>
                      <a:lnRef idx="0"/>
                      <a:fillRef idx="0"/>
                      <a:effectRef idx="0"/>
                      <a:fontRef idx="minor"/>
                    </wps:style>
                    <wps:txb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w:t>
                          </w:r>
                          <w:r>
                            <w:rPr>
                              <w:sz w:val="22"/>
                              <w:szCs w:val="22"/>
                            </w:rPr>
                            <w:fldChar w:fldCharType="end"/>
                          </w:r>
                        </w:p>
                        <w:p>
                          <w:pPr>
                            <w:pStyle w:val="user4"/>
                            <w:rPr/>
                          </w:pPr>
                          <w:r>
                            <w:rPr/>
                          </w:r>
                        </w:p>
                      </w:txbxContent>
                    </wps:txbx>
                    <wps:bodyPr lIns="36360" rIns="36360" tIns="36360" bIns="36360" anchor="t" upright="1">
                      <a:noAutofit/>
                    </wps:bodyPr>
                  </wps:wsp>
                </a:graphicData>
              </a:graphic>
            </wp:anchor>
          </w:drawing>
        </mc:Choice>
        <mc:Fallback>
          <w:pict>
            <v:rect id="shape_0" ID="_x005F_x0000_s2050" path="m0,0l-2147483645,0l-2147483645,-2147483646l0,-2147483646xe" stroked="f" o:allowincell="f" style="position:absolute;margin-left:314.5pt;margin-top:17.7pt;width:22.4pt;height:18.15pt;mso-wrap-style:square;v-text-anchor:top;mso-position-horizontal-relative:page;mso-position-vertical-relative:page">
              <v:fill o:detectmouseclick="t" on="false"/>
              <v:stroke color="#3465a4" joinstyle="round" endcap="flat"/>
              <v:textbox>
                <w:txbxContent>
                  <w:p>
                    <w:pPr>
                      <w:pStyle w:val="26"/>
                      <w:shd w:val="clear" w:color="auto" w:fill="auto"/>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w:t>
                    </w:r>
                    <w:r>
                      <w:rPr>
                        <w:sz w:val="22"/>
                        <w:szCs w:val="22"/>
                      </w:rPr>
                      <w:fldChar w:fldCharType="end"/>
                    </w:r>
                  </w:p>
                  <w:p>
                    <w:pPr>
                      <w:pStyle w:val="user4"/>
                      <w:rPr/>
                    </w:pPr>
                    <w:r>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isLgl/>
      <w:numFmt w:val="upperRoman"/>
      <w:lvlText w:val="%1."/>
      <w:lvlJc w:val="left"/>
      <w:pPr>
        <w:tabs>
          <w:tab w:val="num" w:pos="0"/>
        </w:tabs>
        <w:ind w:left="0" w:hanging="0"/>
      </w:pPr>
      <w:rPr>
        <w:smallCaps w:val="false"/>
        <w:caps w:val="false"/>
        <w:dstrike w:val="false"/>
        <w:strike w:val="false"/>
        <w:sz w:val="28"/>
        <w:spacing w:val="0"/>
        <w:i w:val="false"/>
        <w:u w:val="none"/>
        <w:b/>
        <w:szCs w:val="28"/>
        <w:iCs w:val="false"/>
        <w:bCs/>
        <w:rFonts w:ascii="Times New Roman" w:hAnsi="Times New Roman" w:eastAsia="Times New Roman" w:cs="Times New Roman"/>
        <w:color w:val="000000"/>
        <w:lang w:val="ru-RU" w:eastAsia="ru-RU" w:bidi="ru-RU"/>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7">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9">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5">
    <w:lvl w:ilvl="0">
      <w:start w:val="2"/>
      <w:isLgl/>
      <w:numFmt w:val="upperRoman"/>
      <w:lvlText w:val="%1."/>
      <w:lvlJc w:val="left"/>
      <w:pPr>
        <w:tabs>
          <w:tab w:val="num" w:pos="0"/>
        </w:tabs>
        <w:ind w:left="0" w:hanging="0"/>
      </w:pPr>
      <w:rPr>
        <w:smallCaps w:val="false"/>
        <w:caps w:val="false"/>
        <w:dstrike w:val="false"/>
        <w:strike w:val="false"/>
        <w:sz w:val="28"/>
        <w:spacing w:val="0"/>
        <w:i w:val="false"/>
        <w:u w:val="none"/>
        <w:b/>
        <w:szCs w:val="28"/>
        <w:iCs w:val="false"/>
        <w:bCs/>
        <w:rFonts w:ascii="Times New Roman" w:hAnsi="Times New Roman" w:eastAsia="Times New Roman" w:cs="Times New Roman"/>
        <w:color w:val="000000"/>
        <w:lang w:val="ru-RU" w:eastAsia="ru-RU" w:bidi="ru-RU"/>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9">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9">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39">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40">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4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49">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1">
    <w:lvl w:ilvl="0">
      <w:start w:val="1"/>
      <w:isLgl/>
      <w:numFmt w:val="decimal"/>
      <w:lvlText w:val="%1."/>
      <w:lvlJc w:val="left"/>
      <w:pPr>
        <w:tabs>
          <w:tab w:val="num" w:pos="0"/>
        </w:tabs>
        <w:ind w:left="709" w:hanging="360"/>
      </w:pPr>
      <w:rPr/>
    </w:lvl>
    <w:lvl w:ilvl="1">
      <w:start w:val="1"/>
      <w:isLgl/>
      <w:numFmt w:val="lowerLetter"/>
      <w:lvlText w:val="%2."/>
      <w:lvlJc w:val="left"/>
      <w:pPr>
        <w:tabs>
          <w:tab w:val="num" w:pos="0"/>
        </w:tabs>
        <w:ind w:left="1429" w:hanging="360"/>
      </w:pPr>
      <w:rPr/>
    </w:lvl>
    <w:lvl w:ilvl="2">
      <w:start w:val="1"/>
      <w:isLgl/>
      <w:numFmt w:val="lowerRoman"/>
      <w:lvlText w:val="%3."/>
      <w:lvlJc w:val="right"/>
      <w:pPr>
        <w:tabs>
          <w:tab w:val="num" w:pos="0"/>
        </w:tabs>
        <w:ind w:left="2149" w:hanging="180"/>
      </w:pPr>
      <w:rPr/>
    </w:lvl>
    <w:lvl w:ilvl="3">
      <w:start w:val="1"/>
      <w:isLgl/>
      <w:numFmt w:val="decimal"/>
      <w:lvlText w:val="%4."/>
      <w:lvlJc w:val="left"/>
      <w:pPr>
        <w:tabs>
          <w:tab w:val="num" w:pos="0"/>
        </w:tabs>
        <w:ind w:left="2869" w:hanging="360"/>
      </w:pPr>
      <w:rPr/>
    </w:lvl>
    <w:lvl w:ilvl="4">
      <w:start w:val="1"/>
      <w:isLgl/>
      <w:numFmt w:val="lowerLetter"/>
      <w:lvlText w:val="%5."/>
      <w:lvlJc w:val="left"/>
      <w:pPr>
        <w:tabs>
          <w:tab w:val="num" w:pos="0"/>
        </w:tabs>
        <w:ind w:left="3589" w:hanging="360"/>
      </w:pPr>
      <w:rPr/>
    </w:lvl>
    <w:lvl w:ilvl="5">
      <w:start w:val="1"/>
      <w:isLgl/>
      <w:numFmt w:val="lowerRoman"/>
      <w:lvlText w:val="%6."/>
      <w:lvlJc w:val="right"/>
      <w:pPr>
        <w:tabs>
          <w:tab w:val="num" w:pos="0"/>
        </w:tabs>
        <w:ind w:left="4309" w:hanging="180"/>
      </w:pPr>
      <w:rPr/>
    </w:lvl>
    <w:lvl w:ilvl="6">
      <w:start w:val="1"/>
      <w:isLgl/>
      <w:numFmt w:val="decimal"/>
      <w:lvlText w:val="%7."/>
      <w:lvlJc w:val="left"/>
      <w:pPr>
        <w:tabs>
          <w:tab w:val="num" w:pos="0"/>
        </w:tabs>
        <w:ind w:left="5029" w:hanging="360"/>
      </w:pPr>
      <w:rPr/>
    </w:lvl>
    <w:lvl w:ilvl="7">
      <w:start w:val="1"/>
      <w:isLgl/>
      <w:numFmt w:val="lowerLetter"/>
      <w:lvlText w:val="%8."/>
      <w:lvlJc w:val="left"/>
      <w:pPr>
        <w:tabs>
          <w:tab w:val="num" w:pos="0"/>
        </w:tabs>
        <w:ind w:left="5749" w:hanging="360"/>
      </w:pPr>
      <w:rPr/>
    </w:lvl>
    <w:lvl w:ilvl="8">
      <w:start w:val="1"/>
      <w:isLgl/>
      <w:numFmt w:val="lowerRoman"/>
      <w:lvlText w:val="%9."/>
      <w:lvlJc w:val="right"/>
      <w:pPr>
        <w:tabs>
          <w:tab w:val="num" w:pos="0"/>
        </w:tabs>
        <w:ind w:left="6469" w:hanging="180"/>
      </w:pPr>
      <w:rPr/>
    </w:lvl>
  </w:abstractNum>
  <w:abstractNum w:abstractNumId="52">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5">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5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59">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60">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6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3">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64">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6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68">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69">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7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1">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2">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3">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4">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5">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79">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0">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3">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87">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88">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89">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0">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1">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2">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3">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4">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5">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6">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7">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8">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99">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0">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1">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2">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3">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4">
    <w:lvl w:ilvl="0">
      <w:start w:val="1"/>
      <w:isLgl/>
      <w:numFmt w:val="bullet"/>
      <w:lvlText w:val="–"/>
      <w:lvlJc w:val="left"/>
      <w:pPr>
        <w:tabs>
          <w:tab w:val="num" w:pos="0"/>
        </w:tabs>
        <w:ind w:left="1134" w:hanging="360"/>
      </w:pPr>
      <w:rPr>
        <w:rFonts w:ascii="Arial" w:hAnsi="Arial" w:cs="Arial" w:hint="default"/>
      </w:rPr>
    </w:lvl>
    <w:lvl w:ilvl="1">
      <w:start w:val="1"/>
      <w:isLgl/>
      <w:numFmt w:val="bullet"/>
      <w:lvlText w:val="o"/>
      <w:lvlJc w:val="left"/>
      <w:pPr>
        <w:tabs>
          <w:tab w:val="num" w:pos="0"/>
        </w:tabs>
        <w:ind w:left="1854" w:hanging="360"/>
      </w:pPr>
      <w:rPr>
        <w:rFonts w:ascii="Courier New" w:hAnsi="Courier New" w:cs="Courier New" w:hint="default"/>
      </w:rPr>
    </w:lvl>
    <w:lvl w:ilvl="2">
      <w:start w:val="1"/>
      <w:isLgl/>
      <w:numFmt w:val="bullet"/>
      <w:lvlText w:val="§"/>
      <w:lvlJc w:val="left"/>
      <w:pPr>
        <w:tabs>
          <w:tab w:val="num" w:pos="0"/>
        </w:tabs>
        <w:ind w:left="2574" w:hanging="360"/>
      </w:pPr>
      <w:rPr>
        <w:rFonts w:ascii="Wingdings" w:hAnsi="Wingdings" w:cs="Wingdings" w:hint="default"/>
      </w:rPr>
    </w:lvl>
    <w:lvl w:ilvl="3">
      <w:start w:val="1"/>
      <w:isLgl/>
      <w:numFmt w:val="bullet"/>
      <w:lvlText w:val="·"/>
      <w:lvlJc w:val="left"/>
      <w:pPr>
        <w:tabs>
          <w:tab w:val="num" w:pos="0"/>
        </w:tabs>
        <w:ind w:left="3294" w:hanging="360"/>
      </w:pPr>
      <w:rPr>
        <w:rFonts w:ascii="Symbol" w:hAnsi="Symbol" w:cs="Symbol" w:hint="default"/>
      </w:rPr>
    </w:lvl>
    <w:lvl w:ilvl="4">
      <w:start w:val="1"/>
      <w:isLgl/>
      <w:numFmt w:val="bullet"/>
      <w:lvlText w:val="o"/>
      <w:lvlJc w:val="left"/>
      <w:pPr>
        <w:tabs>
          <w:tab w:val="num" w:pos="0"/>
        </w:tabs>
        <w:ind w:left="4014" w:hanging="360"/>
      </w:pPr>
      <w:rPr>
        <w:rFonts w:ascii="Courier New" w:hAnsi="Courier New" w:cs="Courier New" w:hint="default"/>
      </w:rPr>
    </w:lvl>
    <w:lvl w:ilvl="5">
      <w:start w:val="1"/>
      <w:isLgl/>
      <w:numFmt w:val="bullet"/>
      <w:lvlText w:val="§"/>
      <w:lvlJc w:val="left"/>
      <w:pPr>
        <w:tabs>
          <w:tab w:val="num" w:pos="0"/>
        </w:tabs>
        <w:ind w:left="4734" w:hanging="360"/>
      </w:pPr>
      <w:rPr>
        <w:rFonts w:ascii="Wingdings" w:hAnsi="Wingdings" w:cs="Wingdings" w:hint="default"/>
      </w:rPr>
    </w:lvl>
    <w:lvl w:ilvl="6">
      <w:start w:val="1"/>
      <w:isLgl/>
      <w:numFmt w:val="bullet"/>
      <w:lvlText w:val="·"/>
      <w:lvlJc w:val="left"/>
      <w:pPr>
        <w:tabs>
          <w:tab w:val="num" w:pos="0"/>
        </w:tabs>
        <w:ind w:left="5454" w:hanging="360"/>
      </w:pPr>
      <w:rPr>
        <w:rFonts w:ascii="Symbol" w:hAnsi="Symbol" w:cs="Symbol" w:hint="default"/>
      </w:rPr>
    </w:lvl>
    <w:lvl w:ilvl="7">
      <w:start w:val="1"/>
      <w:isLgl/>
      <w:numFmt w:val="bullet"/>
      <w:lvlText w:val="o"/>
      <w:lvlJc w:val="left"/>
      <w:pPr>
        <w:tabs>
          <w:tab w:val="num" w:pos="0"/>
        </w:tabs>
        <w:ind w:left="6174" w:hanging="360"/>
      </w:pPr>
      <w:rPr>
        <w:rFonts w:ascii="Courier New" w:hAnsi="Courier New" w:cs="Courier New" w:hint="default"/>
      </w:rPr>
    </w:lvl>
    <w:lvl w:ilvl="8">
      <w:start w:val="1"/>
      <w:isLgl/>
      <w:numFmt w:val="bullet"/>
      <w:lvlText w:val="§"/>
      <w:lvlJc w:val="left"/>
      <w:pPr>
        <w:tabs>
          <w:tab w:val="num" w:pos="0"/>
        </w:tabs>
        <w:ind w:left="6894" w:hanging="360"/>
      </w:pPr>
      <w:rPr>
        <w:rFonts w:ascii="Wingdings" w:hAnsi="Wingdings" w:cs="Wingdings" w:hint="default"/>
      </w:rPr>
    </w:lvl>
  </w:abstractNum>
  <w:abstractNum w:abstractNumId="10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0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07">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108">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09">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1">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3">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4">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7">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11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19">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120">
    <w:lvl w:ilvl="0">
      <w:start w:val="1"/>
      <w:isLgl/>
      <w:numFmt w:val="bullet"/>
      <w:lvlText w:val="–"/>
      <w:lvlJc w:val="left"/>
      <w:pPr>
        <w:tabs>
          <w:tab w:val="num" w:pos="0"/>
        </w:tabs>
        <w:ind w:left="709" w:hanging="360"/>
      </w:pPr>
      <w:rPr>
        <w:rFonts w:ascii="Arial" w:hAnsi="Arial" w:cs="Arial" w:hint="default"/>
      </w:rPr>
    </w:lvl>
    <w:lvl w:ilvl="1">
      <w:start w:val="1"/>
      <w:isLgl/>
      <w:numFmt w:val="bullet"/>
      <w:lvlText w:val="o"/>
      <w:lvlJc w:val="left"/>
      <w:pPr>
        <w:tabs>
          <w:tab w:val="num" w:pos="0"/>
        </w:tabs>
        <w:ind w:left="1429" w:hanging="360"/>
      </w:pPr>
      <w:rPr>
        <w:rFonts w:ascii="Courier New" w:hAnsi="Courier New" w:cs="Courier New" w:hint="default"/>
      </w:rPr>
    </w:lvl>
    <w:lvl w:ilvl="2">
      <w:start w:val="1"/>
      <w:isLgl/>
      <w:numFmt w:val="bullet"/>
      <w:lvlText w:val="§"/>
      <w:lvlJc w:val="left"/>
      <w:pPr>
        <w:tabs>
          <w:tab w:val="num" w:pos="0"/>
        </w:tabs>
        <w:ind w:left="2149" w:hanging="360"/>
      </w:pPr>
      <w:rPr>
        <w:rFonts w:ascii="Wingdings" w:hAnsi="Wingdings" w:cs="Wingdings" w:hint="default"/>
      </w:rPr>
    </w:lvl>
    <w:lvl w:ilvl="3">
      <w:start w:val="1"/>
      <w:isLgl/>
      <w:numFmt w:val="bullet"/>
      <w:lvlText w:val="·"/>
      <w:lvlJc w:val="left"/>
      <w:pPr>
        <w:tabs>
          <w:tab w:val="num" w:pos="0"/>
        </w:tabs>
        <w:ind w:left="2869" w:hanging="360"/>
      </w:pPr>
      <w:rPr>
        <w:rFonts w:ascii="Symbol" w:hAnsi="Symbol" w:cs="Symbol" w:hint="default"/>
      </w:rPr>
    </w:lvl>
    <w:lvl w:ilvl="4">
      <w:start w:val="1"/>
      <w:isLgl/>
      <w:numFmt w:val="bullet"/>
      <w:lvlText w:val="o"/>
      <w:lvlJc w:val="left"/>
      <w:pPr>
        <w:tabs>
          <w:tab w:val="num" w:pos="0"/>
        </w:tabs>
        <w:ind w:left="3589" w:hanging="360"/>
      </w:pPr>
      <w:rPr>
        <w:rFonts w:ascii="Courier New" w:hAnsi="Courier New" w:cs="Courier New" w:hint="default"/>
      </w:rPr>
    </w:lvl>
    <w:lvl w:ilvl="5">
      <w:start w:val="1"/>
      <w:isLgl/>
      <w:numFmt w:val="bullet"/>
      <w:lvlText w:val="§"/>
      <w:lvlJc w:val="left"/>
      <w:pPr>
        <w:tabs>
          <w:tab w:val="num" w:pos="0"/>
        </w:tabs>
        <w:ind w:left="4309" w:hanging="360"/>
      </w:pPr>
      <w:rPr>
        <w:rFonts w:ascii="Wingdings" w:hAnsi="Wingdings" w:cs="Wingdings" w:hint="default"/>
      </w:rPr>
    </w:lvl>
    <w:lvl w:ilvl="6">
      <w:start w:val="1"/>
      <w:isLgl/>
      <w:numFmt w:val="bullet"/>
      <w:lvlText w:val="·"/>
      <w:lvlJc w:val="left"/>
      <w:pPr>
        <w:tabs>
          <w:tab w:val="num" w:pos="0"/>
        </w:tabs>
        <w:ind w:left="5029" w:hanging="360"/>
      </w:pPr>
      <w:rPr>
        <w:rFonts w:ascii="Symbol" w:hAnsi="Symbol" w:cs="Symbol" w:hint="default"/>
      </w:rPr>
    </w:lvl>
    <w:lvl w:ilvl="7">
      <w:start w:val="1"/>
      <w:isLgl/>
      <w:numFmt w:val="bullet"/>
      <w:lvlText w:val="o"/>
      <w:lvlJc w:val="left"/>
      <w:pPr>
        <w:tabs>
          <w:tab w:val="num" w:pos="0"/>
        </w:tabs>
        <w:ind w:left="5749" w:hanging="360"/>
      </w:pPr>
      <w:rPr>
        <w:rFonts w:ascii="Courier New" w:hAnsi="Courier New" w:cs="Courier New" w:hint="default"/>
      </w:rPr>
    </w:lvl>
    <w:lvl w:ilvl="8">
      <w:start w:val="1"/>
      <w:isLgl/>
      <w:numFmt w:val="bullet"/>
      <w:lvlText w:val="§"/>
      <w:lvlJc w:val="left"/>
      <w:pPr>
        <w:tabs>
          <w:tab w:val="num" w:pos="0"/>
        </w:tabs>
        <w:ind w:left="6469" w:hanging="360"/>
      </w:pPr>
      <w:rPr>
        <w:rFonts w:ascii="Wingdings" w:hAnsi="Wingdings" w:cs="Wingdings" w:hint="default"/>
      </w:rPr>
    </w:lvl>
  </w:abstractNum>
  <w:abstractNum w:abstractNumId="12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29">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0">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1">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2">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3">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5">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6">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7">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8">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39">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40">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41">
    <w:lvl w:ilvl="0">
      <w:start w:val="1"/>
      <w:isLgl/>
      <w:numFmt w:val="bullet"/>
      <w:lvlText w:val="·"/>
      <w:lvlJc w:val="left"/>
      <w:pPr>
        <w:tabs>
          <w:tab w:val="num" w:pos="0"/>
        </w:tabs>
        <w:ind w:left="709" w:hanging="360"/>
      </w:pPr>
      <w:rPr>
        <w:rFonts w:ascii="Symbol" w:hAnsi="Symbol" w:cs="Symbol" w:hint="default"/>
        <w:sz w:val="24"/>
        <w:color w:val="000000"/>
      </w:rPr>
    </w:lvl>
    <w:lvl w:ilvl="1">
      <w:start w:val="1"/>
      <w:isLgl/>
      <w:numFmt w:val="bullet"/>
      <w:lvlText w:val="·"/>
      <w:lvlJc w:val="left"/>
      <w:pPr>
        <w:tabs>
          <w:tab w:val="num" w:pos="0"/>
        </w:tabs>
        <w:ind w:left="1429" w:hanging="360"/>
      </w:pPr>
      <w:rPr>
        <w:rFonts w:ascii="Symbol" w:hAnsi="Symbol" w:cs="Symbol" w:hint="default"/>
        <w:sz w:val="24"/>
        <w:color w:val="000000"/>
      </w:rPr>
    </w:lvl>
    <w:lvl w:ilvl="2">
      <w:start w:val="1"/>
      <w:isLgl/>
      <w:numFmt w:val="bullet"/>
      <w:lvlText w:val="·"/>
      <w:lvlJc w:val="left"/>
      <w:pPr>
        <w:tabs>
          <w:tab w:val="num" w:pos="0"/>
        </w:tabs>
        <w:ind w:left="2149" w:hanging="360"/>
      </w:pPr>
      <w:rPr>
        <w:rFonts w:ascii="Symbol" w:hAnsi="Symbol" w:cs="Symbol" w:hint="default"/>
        <w:sz w:val="24"/>
        <w:color w:val="000000"/>
      </w:rPr>
    </w:lvl>
    <w:lvl w:ilvl="3">
      <w:start w:val="1"/>
      <w:isLgl/>
      <w:numFmt w:val="bullet"/>
      <w:lvlText w:val="·"/>
      <w:lvlJc w:val="left"/>
      <w:pPr>
        <w:tabs>
          <w:tab w:val="num" w:pos="0"/>
        </w:tabs>
        <w:ind w:left="2869" w:hanging="360"/>
      </w:pPr>
      <w:rPr>
        <w:rFonts w:ascii="Symbol" w:hAnsi="Symbol" w:cs="Symbol" w:hint="default"/>
        <w:sz w:val="24"/>
        <w:color w:val="000000"/>
      </w:rPr>
    </w:lvl>
    <w:lvl w:ilvl="4">
      <w:start w:val="1"/>
      <w:isLgl/>
      <w:numFmt w:val="bullet"/>
      <w:lvlText w:val="·"/>
      <w:lvlJc w:val="left"/>
      <w:pPr>
        <w:tabs>
          <w:tab w:val="num" w:pos="0"/>
        </w:tabs>
        <w:ind w:left="3589" w:hanging="360"/>
      </w:pPr>
      <w:rPr>
        <w:rFonts w:ascii="Symbol" w:hAnsi="Symbol" w:cs="Symbol" w:hint="default"/>
        <w:sz w:val="24"/>
        <w:color w:val="000000"/>
      </w:rPr>
    </w:lvl>
    <w:lvl w:ilvl="5">
      <w:start w:val="1"/>
      <w:isLgl/>
      <w:numFmt w:val="bullet"/>
      <w:lvlText w:val="·"/>
      <w:lvlJc w:val="left"/>
      <w:pPr>
        <w:tabs>
          <w:tab w:val="num" w:pos="0"/>
        </w:tabs>
        <w:ind w:left="4309" w:hanging="360"/>
      </w:pPr>
      <w:rPr>
        <w:rFonts w:ascii="Symbol" w:hAnsi="Symbol" w:cs="Symbol" w:hint="default"/>
        <w:sz w:val="24"/>
        <w:color w:val="000000"/>
      </w:rPr>
    </w:lvl>
    <w:lvl w:ilvl="6">
      <w:start w:val="1"/>
      <w:isLgl/>
      <w:numFmt w:val="bullet"/>
      <w:lvlText w:val="·"/>
      <w:lvlJc w:val="left"/>
      <w:pPr>
        <w:tabs>
          <w:tab w:val="num" w:pos="0"/>
        </w:tabs>
        <w:ind w:left="5029" w:hanging="360"/>
      </w:pPr>
      <w:rPr>
        <w:rFonts w:ascii="Symbol" w:hAnsi="Symbol" w:cs="Symbol" w:hint="default"/>
        <w:sz w:val="24"/>
        <w:color w:val="000000"/>
      </w:rPr>
    </w:lvl>
    <w:lvl w:ilvl="7">
      <w:start w:val="1"/>
      <w:isLgl/>
      <w:numFmt w:val="bullet"/>
      <w:lvlText w:val="·"/>
      <w:lvlJc w:val="left"/>
      <w:pPr>
        <w:tabs>
          <w:tab w:val="num" w:pos="0"/>
        </w:tabs>
        <w:ind w:left="5749" w:hanging="360"/>
      </w:pPr>
      <w:rPr>
        <w:rFonts w:ascii="Symbol" w:hAnsi="Symbol" w:cs="Symbol" w:hint="default"/>
        <w:sz w:val="24"/>
        <w:color w:val="000000"/>
      </w:rPr>
    </w:lvl>
    <w:lvl w:ilvl="8">
      <w:start w:val="1"/>
      <w:isLgl/>
      <w:numFmt w:val="bullet"/>
      <w:lvlText w:val="·"/>
      <w:lvlJc w:val="left"/>
      <w:pPr>
        <w:tabs>
          <w:tab w:val="num" w:pos="0"/>
        </w:tabs>
        <w:ind w:left="6469" w:hanging="360"/>
      </w:pPr>
      <w:rPr>
        <w:rFonts w:ascii="Symbol" w:hAnsi="Symbol" w:cs="Symbol" w:hint="default"/>
        <w:sz w:val="24"/>
        <w:color w:val="000000"/>
      </w:rPr>
    </w:lvl>
  </w:abstractNum>
  <w:abstractNum w:abstractNumId="142">
    <w:lvl w:ilvl="0">
      <w:start w:val="1"/>
      <w:isLgl/>
      <w:numFmt w:val="decimal"/>
      <w:lvlText w:val="%1."/>
      <w:lvlJc w:val="left"/>
      <w:pPr>
        <w:tabs>
          <w:tab w:val="num" w:pos="0"/>
        </w:tabs>
        <w:ind w:left="360" w:hanging="360"/>
      </w:pPr>
      <w:rPr/>
    </w:lvl>
    <w:lvl w:ilvl="1">
      <w:start w:val="1"/>
      <w:isLgl/>
      <w:numFmt w:val="decimal"/>
      <w:lvlText w:val="%1.%2."/>
      <w:lvlJc w:val="left"/>
      <w:pPr>
        <w:tabs>
          <w:tab w:val="num" w:pos="0"/>
        </w:tabs>
        <w:ind w:left="792" w:hanging="432"/>
      </w:pPr>
      <w:rPr/>
    </w:lvl>
    <w:lvl w:ilvl="2">
      <w:start w:val="1"/>
      <w:isLgl/>
      <w:numFmt w:val="decimal"/>
      <w:lvlText w:val="%1.%2.%3."/>
      <w:lvlJc w:val="left"/>
      <w:pPr>
        <w:tabs>
          <w:tab w:val="num" w:pos="0"/>
        </w:tabs>
        <w:ind w:left="1224" w:hanging="504"/>
      </w:pPr>
      <w:rPr/>
    </w:lvl>
    <w:lvl w:ilvl="3">
      <w:start w:val="1"/>
      <w:isLgl/>
      <w:numFmt w:val="decimal"/>
      <w:lvlText w:val="%1.%2.%3.%4."/>
      <w:lvlJc w:val="left"/>
      <w:pPr>
        <w:tabs>
          <w:tab w:val="num" w:pos="0"/>
        </w:tabs>
        <w:ind w:left="1728" w:hanging="648"/>
      </w:pPr>
      <w:rPr/>
    </w:lvl>
    <w:lvl w:ilvl="4">
      <w:start w:val="1"/>
      <w:isLgl/>
      <w:numFmt w:val="decimal"/>
      <w:lvlText w:val="%1.%2.%3.%4.%5."/>
      <w:lvlJc w:val="left"/>
      <w:pPr>
        <w:tabs>
          <w:tab w:val="num" w:pos="0"/>
        </w:tabs>
        <w:ind w:left="2232" w:hanging="792"/>
      </w:pPr>
      <w:rPr/>
    </w:lvl>
    <w:lvl w:ilvl="5">
      <w:start w:val="1"/>
      <w:isLgl/>
      <w:numFmt w:val="decimal"/>
      <w:lvlText w:val="%1.%2.%3.%4.%5.%6."/>
      <w:lvlJc w:val="left"/>
      <w:pPr>
        <w:tabs>
          <w:tab w:val="num" w:pos="0"/>
        </w:tabs>
        <w:ind w:left="2736" w:hanging="936"/>
      </w:pPr>
      <w:rPr/>
    </w:lvl>
    <w:lvl w:ilvl="6">
      <w:start w:val="1"/>
      <w:isLgl/>
      <w:numFmt w:val="decimal"/>
      <w:lvlText w:val="%1.%2.%3.%4.%5.%6.%7."/>
      <w:lvlJc w:val="left"/>
      <w:pPr>
        <w:tabs>
          <w:tab w:val="num" w:pos="0"/>
        </w:tabs>
        <w:ind w:left="3240" w:hanging="1080"/>
      </w:pPr>
      <w:rPr/>
    </w:lvl>
    <w:lvl w:ilvl="7">
      <w:start w:val="1"/>
      <w:isLgl/>
      <w:numFmt w:val="decimal"/>
      <w:lvlText w:val="%1.%2.%3.%4.%5.%6.%7.%8."/>
      <w:lvlJc w:val="left"/>
      <w:pPr>
        <w:tabs>
          <w:tab w:val="num" w:pos="0"/>
        </w:tabs>
        <w:ind w:left="3744" w:hanging="1224"/>
      </w:pPr>
      <w:rPr/>
    </w:lvl>
    <w:lvl w:ilvl="8">
      <w:start w:val="1"/>
      <w:isLgl/>
      <w:numFmt w:val="decimal"/>
      <w:lvlText w:val="%1.%2.%3.%4.%5.%6.%7.%8.%9."/>
      <w:lvlJc w:val="left"/>
      <w:pPr>
        <w:tabs>
          <w:tab w:val="num" w:pos="0"/>
        </w:tabs>
        <w:ind w:left="4320" w:hanging="1440"/>
      </w:pPr>
      <w:rPr/>
    </w:lvl>
  </w:abstractNum>
  <w:abstractNum w:abstractNumId="143">
    <w:lvl w:ilvl="0">
      <w:start w:val="1"/>
      <w:isLgl/>
      <w:numFmt w:val="bullet"/>
      <w:lvlText w:val="·"/>
      <w:lvlJc w:val="left"/>
      <w:pPr>
        <w:tabs>
          <w:tab w:val="num" w:pos="0"/>
        </w:tabs>
        <w:ind w:left="720" w:hanging="360"/>
      </w:pPr>
      <w:rPr>
        <w:rFonts w:ascii="Symbol" w:hAnsi="Symbol" w:cs="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44">
    <w:lvl w:ilvl="0">
      <w:start w:val="1"/>
      <w:isLgl/>
      <w:numFmt w:val="bullet"/>
      <w:lvlText w:val="–"/>
      <w:lvlJc w:val="left"/>
      <w:pPr>
        <w:tabs>
          <w:tab w:val="num" w:pos="0"/>
        </w:tabs>
        <w:ind w:left="720" w:hanging="360"/>
      </w:pPr>
      <w:rPr>
        <w:rFonts w:ascii="Arial" w:hAnsi="Arial" w:cs="Aria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14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bering>
</file>

<file path=word/settings.xml><?xml version="1.0" encoding="utf-8"?>
<w:settings xmlns:w="http://schemas.openxmlformats.org/wordprocessingml/2006/main">
  <w:zoom w:percent="160"/>
  <w:defaultTabStop w:val="709"/>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Courier New" w:hAnsi="Courier New" w:eastAsia="Courier New" w:cs="Courier New"/>
      <w:color w:val="000000"/>
      <w:kern w:val="0"/>
      <w:sz w:val="24"/>
      <w:szCs w:val="24"/>
      <w:lang w:val="ru-RU" w:eastAsia="ru-RU" w:bidi="ru-RU"/>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CaptionChar" w:customStyle="1">
    <w:name w:val="Caption Char"/>
    <w:basedOn w:val="DefaultParagraphFont"/>
    <w:uiPriority w:val="35"/>
    <w:qFormat/>
    <w:rPr>
      <w:b/>
      <w:bCs/>
      <w:color w:themeColor="accent1" w:val="4F81BD"/>
      <w:sz w:val="18"/>
      <w:szCs w:val="18"/>
    </w:rPr>
  </w:style>
  <w:style w:type="character" w:styleId="Hyperlink">
    <w:name w:val="Hyperlink"/>
    <w:uiPriority w:val="99"/>
    <w:unhideWhenUsed/>
    <w:rPr>
      <w:color w:val="0000FF"/>
      <w:u w:val="single"/>
    </w:rPr>
  </w:style>
  <w:style w:type="character" w:styleId="user">
    <w:name w:val="Символ сноски (user)"/>
    <w:uiPriority w:val="99"/>
    <w:unhideWhenUsed/>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user1">
    <w:name w:val="Символ концевой сноски (user)"/>
    <w:uiPriority w:val="99"/>
    <w:semiHidden/>
    <w:unhideWhenUsed/>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Heading1Char" w:customStyle="1">
    <w:name w:val="Heading 1 Char"/>
    <w:uiPriority w:val="9"/>
    <w:qFormat/>
    <w:rPr>
      <w:rFonts w:ascii="Arial" w:hAnsi="Arial" w:eastAsia="Arial" w:cs="Arial"/>
      <w:sz w:val="40"/>
      <w:szCs w:val="40"/>
    </w:rPr>
  </w:style>
  <w:style w:type="character" w:styleId="Heading2Char" w:customStyle="1">
    <w:name w:val="Heading 2 Char"/>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Style7" w:customStyle="1">
    <w:name w:val="Название объекта Знак"/>
    <w:uiPriority w:val="99"/>
    <w:qFormat/>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 w:customStyle="1">
    <w:name w:val="Заголовок 1 Знак"/>
    <w:uiPriority w:val="9"/>
    <w:qFormat/>
    <w:rPr>
      <w:rFonts w:ascii="Arial" w:hAnsi="Arial" w:eastAsia="Arial" w:cs="Arial"/>
      <w:sz w:val="40"/>
      <w:szCs w:val="40"/>
    </w:rPr>
  </w:style>
  <w:style w:type="character" w:styleId="2" w:customStyle="1">
    <w:name w:val="Заголовок 2 Знак"/>
    <w:uiPriority w:val="9"/>
    <w:qFormat/>
    <w:rPr>
      <w:rFonts w:ascii="Arial" w:hAnsi="Arial" w:eastAsia="Arial" w:cs="Arial"/>
      <w:sz w:val="34"/>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 w:customStyle="1">
    <w:name w:val="Заголовок 6 Знак"/>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Style8" w:customStyle="1">
    <w:name w:val="Заголовок Знак"/>
    <w:uiPriority w:val="10"/>
    <w:qFormat/>
    <w:rPr>
      <w:sz w:val="48"/>
      <w:szCs w:val="48"/>
    </w:rPr>
  </w:style>
  <w:style w:type="character" w:styleId="Style9" w:customStyle="1">
    <w:name w:val="Подзаголовок Знак"/>
    <w:uiPriority w:val="11"/>
    <w:qFormat/>
    <w:rPr>
      <w:sz w:val="24"/>
      <w:szCs w:val="24"/>
    </w:rPr>
  </w:style>
  <w:style w:type="character" w:styleId="21" w:customStyle="1">
    <w:name w:val="Цитата 2 Знак"/>
    <w:link w:val="Quote"/>
    <w:uiPriority w:val="29"/>
    <w:qFormat/>
    <w:rPr>
      <w:i/>
    </w:rPr>
  </w:style>
  <w:style w:type="character" w:styleId="Style10" w:customStyle="1">
    <w:name w:val="Выделенная цитата Знак"/>
    <w:link w:val="IntenseQuote"/>
    <w:uiPriority w:val="30"/>
    <w:qFormat/>
    <w:rPr>
      <w:i/>
    </w:rPr>
  </w:style>
  <w:style w:type="character" w:styleId="Style11"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12" w:customStyle="1">
    <w:name w:val="Нижний колонтитул Знак"/>
    <w:uiPriority w:val="99"/>
    <w:qFormat/>
    <w:rPr/>
  </w:style>
  <w:style w:type="character" w:styleId="Style13" w:customStyle="1">
    <w:name w:val="Текст сноски Знак"/>
    <w:uiPriority w:val="99"/>
    <w:qFormat/>
    <w:rPr>
      <w:sz w:val="18"/>
    </w:rPr>
  </w:style>
  <w:style w:type="character" w:styleId="Style14" w:customStyle="1">
    <w:name w:val="Текст концевой сноски Знак"/>
    <w:uiPriority w:val="99"/>
    <w:qFormat/>
    <w:rPr>
      <w:sz w:val="20"/>
    </w:rPr>
  </w:style>
  <w:style w:type="character" w:styleId="22" w:customStyle="1">
    <w:name w:val="Основной текст (2)_"/>
    <w:link w:val="25"/>
    <w:qFormat/>
    <w:rPr>
      <w:rFonts w:ascii="Times New Roman" w:hAnsi="Times New Roman" w:eastAsia="Times New Roman" w:cs="Times New Roman"/>
      <w:sz w:val="28"/>
      <w:szCs w:val="28"/>
      <w:u w:val="none"/>
    </w:rPr>
  </w:style>
  <w:style w:type="character" w:styleId="51" w:customStyle="1">
    <w:name w:val="Основной текст (5)_"/>
    <w:link w:val="52"/>
    <w:qFormat/>
    <w:rPr>
      <w:rFonts w:ascii="Tahoma" w:hAnsi="Tahoma" w:eastAsia="Tahoma" w:cs="Tahoma"/>
      <w:b/>
      <w:bCs/>
      <w:sz w:val="12"/>
      <w:szCs w:val="12"/>
      <w:u w:val="single"/>
    </w:rPr>
  </w:style>
  <w:style w:type="character" w:styleId="61" w:customStyle="1">
    <w:name w:val="Основной текст (6)_"/>
    <w:link w:val="62"/>
    <w:qFormat/>
    <w:rPr>
      <w:rFonts w:ascii="Arial" w:hAnsi="Arial" w:eastAsia="Arial" w:cs="Arial"/>
      <w:b/>
      <w:bCs/>
      <w:color w:val="EBEBEB"/>
      <w:sz w:val="12"/>
      <w:szCs w:val="12"/>
      <w:u w:val="none"/>
    </w:rPr>
  </w:style>
  <w:style w:type="character" w:styleId="41" w:customStyle="1">
    <w:name w:val="Основной текст (4)_"/>
    <w:link w:val="42"/>
    <w:qFormat/>
    <w:rPr>
      <w:rFonts w:ascii="Arial" w:hAnsi="Arial" w:eastAsia="Arial" w:cs="Arial"/>
      <w:sz w:val="9"/>
      <w:szCs w:val="9"/>
      <w:u w:val="none"/>
    </w:rPr>
  </w:style>
  <w:style w:type="character" w:styleId="-" w:customStyle="1">
    <w:name w:val="Штрих-код_"/>
    <w:link w:val="-1"/>
    <w:qFormat/>
    <w:rPr>
      <w:rFonts w:ascii="Times New Roman" w:hAnsi="Times New Roman" w:eastAsia="Times New Roman" w:cs="Times New Roman"/>
      <w:sz w:val="20"/>
      <w:szCs w:val="20"/>
      <w:u w:val="none"/>
    </w:rPr>
  </w:style>
  <w:style w:type="character" w:styleId="Style15" w:customStyle="1">
    <w:name w:val="Подпись к картинке_"/>
    <w:link w:val="Style25"/>
    <w:qFormat/>
    <w:rPr>
      <w:rFonts w:ascii="Arial" w:hAnsi="Arial" w:eastAsia="Arial" w:cs="Arial"/>
      <w:sz w:val="19"/>
      <w:szCs w:val="19"/>
      <w:u w:val="none"/>
    </w:rPr>
  </w:style>
  <w:style w:type="character" w:styleId="11" w:customStyle="1">
    <w:name w:val="Заголовок №1_"/>
    <w:link w:val="13"/>
    <w:qFormat/>
    <w:rPr>
      <w:rFonts w:ascii="Times New Roman" w:hAnsi="Times New Roman" w:eastAsia="Times New Roman" w:cs="Times New Roman"/>
      <w:b/>
      <w:bCs/>
      <w:sz w:val="34"/>
      <w:szCs w:val="34"/>
      <w:u w:val="none"/>
    </w:rPr>
  </w:style>
  <w:style w:type="character" w:styleId="23" w:customStyle="1">
    <w:name w:val="Колонтитул (2)_"/>
    <w:link w:val="26"/>
    <w:qFormat/>
    <w:rPr>
      <w:rFonts w:ascii="Times New Roman" w:hAnsi="Times New Roman" w:eastAsia="Times New Roman" w:cs="Times New Roman"/>
      <w:sz w:val="20"/>
      <w:szCs w:val="20"/>
      <w:u w:val="none"/>
    </w:rPr>
  </w:style>
  <w:style w:type="character" w:styleId="31" w:customStyle="1">
    <w:name w:val="Основной текст (3)_"/>
    <w:link w:val="32"/>
    <w:qFormat/>
    <w:rPr>
      <w:rFonts w:ascii="Times New Roman" w:hAnsi="Times New Roman" w:eastAsia="Times New Roman" w:cs="Times New Roman"/>
      <w:b/>
      <w:bCs/>
      <w:sz w:val="32"/>
      <w:szCs w:val="32"/>
      <w:u w:val="none"/>
    </w:rPr>
  </w:style>
  <w:style w:type="character" w:styleId="Style16" w:customStyle="1">
    <w:name w:val="Основной текст_"/>
    <w:link w:val="14"/>
    <w:qFormat/>
    <w:rPr>
      <w:rFonts w:ascii="Times New Roman" w:hAnsi="Times New Roman" w:eastAsia="Times New Roman" w:cs="Times New Roman"/>
      <w:u w:val="none"/>
    </w:rPr>
  </w:style>
  <w:style w:type="character" w:styleId="24" w:customStyle="1">
    <w:name w:val="Заголовок №2_"/>
    <w:link w:val="27"/>
    <w:qFormat/>
    <w:rPr>
      <w:rFonts w:ascii="Times New Roman" w:hAnsi="Times New Roman" w:eastAsia="Times New Roman" w:cs="Times New Roman"/>
      <w:b/>
      <w:bCs/>
      <w:u w:val="none"/>
    </w:rPr>
  </w:style>
  <w:style w:type="character" w:styleId="Style17" w:customStyle="1">
    <w:name w:val="Подпись к таблице_"/>
    <w:link w:val="Style26"/>
    <w:qFormat/>
    <w:rPr>
      <w:rFonts w:ascii="Times New Roman" w:hAnsi="Times New Roman" w:eastAsia="Times New Roman" w:cs="Times New Roman"/>
      <w:b/>
      <w:bCs/>
      <w:u w:val="none"/>
    </w:rPr>
  </w:style>
  <w:style w:type="character" w:styleId="Style18" w:customStyle="1">
    <w:name w:val="Другое_"/>
    <w:link w:val="Style27"/>
    <w:qFormat/>
    <w:rPr>
      <w:rFonts w:ascii="Times New Roman" w:hAnsi="Times New Roman" w:eastAsia="Times New Roman" w:cs="Times New Roman"/>
      <w:u w:val="none"/>
    </w:rPr>
  </w:style>
  <w:style w:type="character" w:styleId="Style19" w:customStyle="1">
    <w:name w:val="Колонтитул_"/>
    <w:link w:val="Style28"/>
    <w:qFormat/>
    <w:rPr>
      <w:rFonts w:ascii="Times New Roman" w:hAnsi="Times New Roman" w:eastAsia="Times New Roman" w:cs="Times New Roman"/>
      <w:sz w:val="22"/>
      <w:szCs w:val="22"/>
      <w:u w:val="none"/>
    </w:rPr>
  </w:style>
  <w:style w:type="character" w:styleId="Style20" w:customStyle="1">
    <w:name w:val="Текст выноски Знак"/>
    <w:link w:val="BalloonText"/>
    <w:uiPriority w:val="99"/>
    <w:semiHidden/>
    <w:qFormat/>
    <w:rPr>
      <w:rFonts w:ascii="Segoe UI" w:hAnsi="Segoe UI" w:cs="Segoe UI"/>
      <w:color w:val="000000"/>
      <w:sz w:val="18"/>
      <w:szCs w:val="18"/>
    </w:rPr>
  </w:style>
  <w:style w:type="character" w:styleId="CommentReference">
    <w:name w:val="annotation reference"/>
    <w:uiPriority w:val="99"/>
    <w:semiHidden/>
    <w:unhideWhenUsed/>
    <w:qFormat/>
    <w:rPr>
      <w:sz w:val="16"/>
      <w:szCs w:val="16"/>
    </w:rPr>
  </w:style>
  <w:style w:type="character" w:styleId="Style21" w:customStyle="1">
    <w:name w:val="Текст примечания Знак"/>
    <w:uiPriority w:val="99"/>
    <w:semiHidden/>
    <w:qFormat/>
    <w:rPr>
      <w:color w:val="000000"/>
      <w:sz w:val="20"/>
      <w:szCs w:val="20"/>
    </w:rPr>
  </w:style>
  <w:style w:type="character" w:styleId="Style22" w:customStyle="1">
    <w:name w:val="Тема примечания Знак"/>
    <w:link w:val="annotationsubject"/>
    <w:uiPriority w:val="99"/>
    <w:semiHidden/>
    <w:qFormat/>
    <w:rPr>
      <w:b/>
      <w:bCs/>
      <w:color w:val="000000"/>
      <w:sz w:val="20"/>
      <w:szCs w:val="20"/>
    </w:rPr>
  </w:style>
  <w:style w:type="character" w:styleId="12" w:customStyle="1">
    <w:name w:val="Строгий1"/>
    <w:uiPriority w:val="22"/>
    <w:qFormat/>
    <w:rPr>
      <w:b/>
      <w:bCs/>
    </w:rPr>
  </w:style>
  <w:style w:type="paragraph" w:styleId="Style23">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link w:val="Style7"/>
    <w:uiPriority w:val="35"/>
    <w:semiHidden/>
    <w:unhideWhenUsed/>
    <w:qFormat/>
    <w:pPr>
      <w:spacing w:lineRule="auto" w:line="276"/>
    </w:pPr>
    <w:rPr>
      <w:b/>
      <w:bCs/>
      <w:color w:val="4F81BD"/>
      <w:sz w:val="18"/>
      <w:szCs w:val="18"/>
    </w:rPr>
  </w:style>
  <w:style w:type="paragraph" w:styleId="Style24">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val="false"/>
      <w:suppressAutoHyphens w:val="true"/>
      <w:bidi w:val="0"/>
      <w:spacing w:before="0" w:after="0"/>
      <w:jc w:val="left"/>
    </w:pPr>
    <w:rPr>
      <w:rFonts w:ascii="Courier New" w:hAnsi="Courier New" w:eastAsia="Courier New" w:cs="Courier New"/>
      <w:color w:val="auto"/>
      <w:kern w:val="0"/>
      <w:sz w:val="24"/>
      <w:szCs w:val="24"/>
      <w:lang w:val="ru-RU" w:eastAsia="ru-RU" w:bidi="ru-RU"/>
    </w:rPr>
  </w:style>
  <w:style w:type="paragraph" w:styleId="Title">
    <w:name w:val="Title"/>
    <w:basedOn w:val="Normal"/>
    <w:next w:val="Normal"/>
    <w:link w:val="Style8"/>
    <w:uiPriority w:val="10"/>
    <w:qFormat/>
    <w:pPr>
      <w:spacing w:before="300" w:after="200"/>
      <w:contextualSpacing/>
    </w:pPr>
    <w:rPr>
      <w:sz w:val="48"/>
      <w:szCs w:val="48"/>
    </w:rPr>
  </w:style>
  <w:style w:type="paragraph" w:styleId="Subtitle">
    <w:name w:val="Subtitle"/>
    <w:basedOn w:val="Normal"/>
    <w:next w:val="Normal"/>
    <w:link w:val="Style9"/>
    <w:uiPriority w:val="11"/>
    <w:qFormat/>
    <w:pPr>
      <w:spacing w:before="200" w:after="200"/>
    </w:pPr>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HeaderandFooter">
    <w:name w:val="Header and Footer"/>
    <w:basedOn w:val="Normal"/>
    <w:qFormat/>
    <w:pPr/>
    <w:rPr/>
  </w:style>
  <w:style w:type="paragraph" w:styleId="Header">
    <w:name w:val="header"/>
    <w:basedOn w:val="Normal"/>
    <w:link w:val="Style11"/>
    <w:uiPriority w:val="99"/>
    <w:unhideWhenUsed/>
    <w:pPr>
      <w:tabs>
        <w:tab w:val="clear" w:pos="709"/>
        <w:tab w:val="center" w:pos="7143" w:leader="none"/>
        <w:tab w:val="right" w:pos="14287" w:leader="none"/>
      </w:tabs>
    </w:pPr>
    <w:rPr/>
  </w:style>
  <w:style w:type="paragraph" w:styleId="Footer">
    <w:name w:val="footer"/>
    <w:basedOn w:val="Normal"/>
    <w:link w:val="Style12"/>
    <w:uiPriority w:val="99"/>
    <w:unhideWhenUsed/>
    <w:pPr>
      <w:tabs>
        <w:tab w:val="clear" w:pos="709"/>
        <w:tab w:val="center" w:pos="7143" w:leader="none"/>
        <w:tab w:val="right" w:pos="14287" w:leader="none"/>
      </w:tabs>
    </w:pPr>
    <w:rPr/>
  </w:style>
  <w:style w:type="paragraph" w:styleId="FootnoteText">
    <w:name w:val="footnote text"/>
    <w:basedOn w:val="Normal"/>
    <w:link w:val="Style13"/>
    <w:uiPriority w:val="99"/>
    <w:semiHidden/>
    <w:unhideWhenUsed/>
    <w:pPr>
      <w:spacing w:before="0" w:after="40"/>
    </w:pPr>
    <w:rPr>
      <w:sz w:val="18"/>
    </w:rPr>
  </w:style>
  <w:style w:type="paragraph" w:styleId="EndnoteText">
    <w:name w:val="endnote text"/>
    <w:basedOn w:val="Normal"/>
    <w:link w:val="Style14"/>
    <w:uiPriority w:val="99"/>
    <w:semiHidden/>
    <w:unhideWhenUsed/>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2"/>
    <w:pPr/>
    <w:rPr/>
  </w:style>
  <w:style w:type="paragraph" w:styleId="TOCHeading">
    <w:name w:val="TOC Heading"/>
    <w:uiPriority w:val="39"/>
    <w:unhideWhenUsed/>
    <w:qFormat/>
    <w:pPr>
      <w:widowControl w:val="false"/>
      <w:suppressAutoHyphens w:val="true"/>
      <w:bidi w:val="0"/>
      <w:spacing w:before="0" w:after="0"/>
      <w:jc w:val="left"/>
    </w:pPr>
    <w:rPr>
      <w:rFonts w:ascii="Courier New" w:hAnsi="Courier New" w:eastAsia="Courier New" w:cs="Courier New"/>
      <w:color w:val="auto"/>
      <w:kern w:val="0"/>
      <w:sz w:val="24"/>
      <w:szCs w:val="24"/>
      <w:lang w:val="ru-RU" w:eastAsia="ru-RU" w:bidi="ru-RU"/>
    </w:rPr>
  </w:style>
  <w:style w:type="paragraph" w:styleId="TableofFigures">
    <w:name w:val="table of figures"/>
    <w:basedOn w:val="Normal"/>
    <w:next w:val="Normal"/>
    <w:uiPriority w:val="99"/>
    <w:unhideWhenUsed/>
    <w:pPr/>
    <w:rPr/>
  </w:style>
  <w:style w:type="paragraph" w:styleId="25" w:customStyle="1">
    <w:name w:val="Основной текст (2)"/>
    <w:basedOn w:val="Normal"/>
    <w:link w:val="22"/>
    <w:qFormat/>
    <w:pPr>
      <w:shd w:val="clear" w:color="auto" w:fill="FFFFFF"/>
      <w:spacing w:before="0" w:after="100"/>
      <w:jc w:val="both"/>
    </w:pPr>
    <w:rPr>
      <w:rFonts w:ascii="Times New Roman" w:hAnsi="Times New Roman" w:eastAsia="Times New Roman" w:cs="Times New Roman"/>
      <w:sz w:val="28"/>
      <w:szCs w:val="28"/>
    </w:rPr>
  </w:style>
  <w:style w:type="paragraph" w:styleId="52" w:customStyle="1">
    <w:name w:val="Основной текст (5)"/>
    <w:basedOn w:val="Normal"/>
    <w:link w:val="51"/>
    <w:qFormat/>
    <w:pPr>
      <w:shd w:val="clear" w:color="auto" w:fill="FFFFFF"/>
      <w:spacing w:lineRule="auto" w:line="264"/>
      <w:jc w:val="center"/>
    </w:pPr>
    <w:rPr>
      <w:rFonts w:ascii="Tahoma" w:hAnsi="Tahoma" w:eastAsia="Tahoma" w:cs="Tahoma"/>
      <w:b/>
      <w:bCs/>
      <w:sz w:val="12"/>
      <w:szCs w:val="12"/>
      <w:u w:val="single"/>
    </w:rPr>
  </w:style>
  <w:style w:type="paragraph" w:styleId="62" w:customStyle="1">
    <w:name w:val="Основной текст (6)"/>
    <w:basedOn w:val="Normal"/>
    <w:link w:val="61"/>
    <w:qFormat/>
    <w:pPr>
      <w:shd w:val="clear" w:color="auto" w:fill="FFFFFF"/>
    </w:pPr>
    <w:rPr>
      <w:rFonts w:ascii="Arial" w:hAnsi="Arial" w:eastAsia="Arial" w:cs="Arial"/>
      <w:b/>
      <w:bCs/>
      <w:color w:val="EBEBEB"/>
      <w:sz w:val="12"/>
      <w:szCs w:val="12"/>
    </w:rPr>
  </w:style>
  <w:style w:type="paragraph" w:styleId="42" w:customStyle="1">
    <w:name w:val="Основной текст (4)"/>
    <w:basedOn w:val="Normal"/>
    <w:link w:val="41"/>
    <w:qFormat/>
    <w:pPr>
      <w:shd w:val="clear" w:color="auto" w:fill="FFFFFF"/>
      <w:spacing w:lineRule="auto" w:line="305"/>
      <w:jc w:val="center"/>
    </w:pPr>
    <w:rPr>
      <w:rFonts w:ascii="Arial" w:hAnsi="Arial" w:eastAsia="Arial" w:cs="Arial"/>
      <w:sz w:val="9"/>
      <w:szCs w:val="9"/>
    </w:rPr>
  </w:style>
  <w:style w:type="paragraph" w:styleId="-1" w:customStyle="1">
    <w:name w:val="Штрих-код"/>
    <w:basedOn w:val="Normal"/>
    <w:link w:val="-"/>
    <w:qFormat/>
    <w:pPr>
      <w:shd w:val="clear" w:color="auto" w:fill="FFFFFF"/>
    </w:pPr>
    <w:rPr>
      <w:rFonts w:ascii="Times New Roman" w:hAnsi="Times New Roman" w:eastAsia="Times New Roman" w:cs="Times New Roman"/>
      <w:sz w:val="20"/>
      <w:szCs w:val="20"/>
    </w:rPr>
  </w:style>
  <w:style w:type="paragraph" w:styleId="Style25" w:customStyle="1">
    <w:name w:val="Подпись к картинке"/>
    <w:basedOn w:val="Normal"/>
    <w:link w:val="Style15"/>
    <w:qFormat/>
    <w:pPr>
      <w:shd w:val="clear" w:color="auto" w:fill="FFFFFF"/>
      <w:spacing w:lineRule="auto" w:line="257"/>
    </w:pPr>
    <w:rPr>
      <w:rFonts w:ascii="Arial" w:hAnsi="Arial" w:eastAsia="Arial" w:cs="Arial"/>
      <w:sz w:val="19"/>
      <w:szCs w:val="19"/>
    </w:rPr>
  </w:style>
  <w:style w:type="paragraph" w:styleId="13" w:customStyle="1">
    <w:name w:val="Заголовок №1"/>
    <w:basedOn w:val="Normal"/>
    <w:link w:val="11"/>
    <w:qFormat/>
    <w:pPr>
      <w:shd w:val="clear" w:color="auto" w:fill="FFFFFF"/>
      <w:spacing w:before="0" w:after="480"/>
      <w:jc w:val="center"/>
      <w:outlineLvl w:val="0"/>
    </w:pPr>
    <w:rPr>
      <w:rFonts w:ascii="Times New Roman" w:hAnsi="Times New Roman" w:eastAsia="Times New Roman" w:cs="Times New Roman"/>
      <w:b/>
      <w:bCs/>
      <w:sz w:val="34"/>
      <w:szCs w:val="34"/>
    </w:rPr>
  </w:style>
  <w:style w:type="paragraph" w:styleId="26" w:customStyle="1">
    <w:name w:val="Колонтитул (2)"/>
    <w:basedOn w:val="Normal"/>
    <w:link w:val="23"/>
    <w:qFormat/>
    <w:pPr>
      <w:shd w:val="clear" w:color="auto" w:fill="FFFFFF"/>
    </w:pPr>
    <w:rPr>
      <w:rFonts w:ascii="Times New Roman" w:hAnsi="Times New Roman" w:eastAsia="Times New Roman" w:cs="Times New Roman"/>
      <w:sz w:val="20"/>
      <w:szCs w:val="20"/>
    </w:rPr>
  </w:style>
  <w:style w:type="paragraph" w:styleId="32" w:customStyle="1">
    <w:name w:val="Основной текст (3)"/>
    <w:basedOn w:val="Normal"/>
    <w:link w:val="31"/>
    <w:qFormat/>
    <w:pPr>
      <w:shd w:val="clear" w:color="auto" w:fill="FFFFFF"/>
      <w:spacing w:lineRule="auto" w:line="266" w:before="0" w:after="940"/>
      <w:jc w:val="center"/>
    </w:pPr>
    <w:rPr>
      <w:rFonts w:ascii="Times New Roman" w:hAnsi="Times New Roman" w:eastAsia="Times New Roman" w:cs="Times New Roman"/>
      <w:b/>
      <w:bCs/>
      <w:sz w:val="32"/>
      <w:szCs w:val="32"/>
    </w:rPr>
  </w:style>
  <w:style w:type="paragraph" w:styleId="14" w:customStyle="1">
    <w:name w:val="Основной текст1"/>
    <w:basedOn w:val="Normal"/>
    <w:link w:val="Style16"/>
    <w:qFormat/>
    <w:pPr>
      <w:shd w:val="clear" w:color="auto" w:fill="FFFFFF"/>
      <w:spacing w:before="0" w:after="100"/>
      <w:jc w:val="both"/>
    </w:pPr>
    <w:rPr>
      <w:rFonts w:ascii="Times New Roman" w:hAnsi="Times New Roman" w:eastAsia="Times New Roman" w:cs="Times New Roman"/>
    </w:rPr>
  </w:style>
  <w:style w:type="paragraph" w:styleId="27" w:customStyle="1">
    <w:name w:val="Заголовок №2"/>
    <w:basedOn w:val="Normal"/>
    <w:link w:val="24"/>
    <w:qFormat/>
    <w:pPr>
      <w:shd w:val="clear" w:color="auto" w:fill="FFFFFF"/>
      <w:spacing w:before="0" w:after="100"/>
      <w:jc w:val="both"/>
      <w:outlineLvl w:val="1"/>
    </w:pPr>
    <w:rPr>
      <w:rFonts w:ascii="Times New Roman" w:hAnsi="Times New Roman" w:eastAsia="Times New Roman" w:cs="Times New Roman"/>
      <w:b/>
      <w:bCs/>
    </w:rPr>
  </w:style>
  <w:style w:type="paragraph" w:styleId="Style26" w:customStyle="1">
    <w:name w:val="Подпись к таблице"/>
    <w:basedOn w:val="Normal"/>
    <w:link w:val="Style17"/>
    <w:qFormat/>
    <w:pPr>
      <w:shd w:val="clear" w:color="auto" w:fill="FFFFFF"/>
      <w:jc w:val="center"/>
    </w:pPr>
    <w:rPr>
      <w:rFonts w:ascii="Times New Roman" w:hAnsi="Times New Roman" w:eastAsia="Times New Roman" w:cs="Times New Roman"/>
      <w:b/>
      <w:bCs/>
    </w:rPr>
  </w:style>
  <w:style w:type="paragraph" w:styleId="Style27" w:customStyle="1">
    <w:name w:val="Другое"/>
    <w:basedOn w:val="Normal"/>
    <w:link w:val="Style18"/>
    <w:qFormat/>
    <w:pPr>
      <w:shd w:val="clear" w:color="auto" w:fill="FFFFFF"/>
      <w:spacing w:before="0" w:after="100"/>
      <w:jc w:val="both"/>
    </w:pPr>
    <w:rPr>
      <w:rFonts w:ascii="Times New Roman" w:hAnsi="Times New Roman" w:eastAsia="Times New Roman" w:cs="Times New Roman"/>
    </w:rPr>
  </w:style>
  <w:style w:type="paragraph" w:styleId="Style28" w:customStyle="1">
    <w:name w:val="Колонтитул"/>
    <w:basedOn w:val="Normal"/>
    <w:link w:val="Style19"/>
    <w:qFormat/>
    <w:pPr>
      <w:shd w:val="clear" w:color="auto" w:fill="FFFFFF"/>
    </w:pPr>
    <w:rPr>
      <w:rFonts w:ascii="Times New Roman" w:hAnsi="Times New Roman" w:eastAsia="Times New Roman" w:cs="Times New Roman"/>
      <w:sz w:val="22"/>
      <w:szCs w:val="22"/>
    </w:rPr>
  </w:style>
  <w:style w:type="paragraph" w:styleId="Default" w:customStyle="1">
    <w:name w:val="Default"/>
    <w:qFormat/>
    <w:pPr>
      <w:widowControl/>
      <w:suppressAutoHyphens w:val="true"/>
      <w:bidi w:val="0"/>
      <w:spacing w:before="0" w:after="0"/>
      <w:jc w:val="left"/>
    </w:pPr>
    <w:rPr>
      <w:rFonts w:ascii="PF Agora Sans Pro Light" w:hAnsi="PF Agora Sans Pro Light" w:eastAsia="Arial" w:cs="PF Agora Sans Pro Light"/>
      <w:color w:val="000000"/>
      <w:kern w:val="0"/>
      <w:sz w:val="24"/>
      <w:szCs w:val="24"/>
      <w:lang w:val="ru-RU" w:eastAsia="en-US" w:bidi="ar-SA"/>
    </w:rPr>
  </w:style>
  <w:style w:type="paragraph" w:styleId="BalloonText">
    <w:name w:val="Balloon Text"/>
    <w:basedOn w:val="Normal"/>
    <w:link w:val="Style20"/>
    <w:uiPriority w:val="99"/>
    <w:semiHidden/>
    <w:unhideWhenUsed/>
    <w:qFormat/>
    <w:pPr/>
    <w:rPr>
      <w:rFonts w:ascii="Segoe UI" w:hAnsi="Segoe UI" w:cs="Segoe UI"/>
      <w:sz w:val="18"/>
      <w:szCs w:val="18"/>
    </w:rPr>
  </w:style>
  <w:style w:type="paragraph" w:styleId="CommentText">
    <w:name w:val="annotation text"/>
    <w:basedOn w:val="Normal"/>
    <w:link w:val="Style21"/>
    <w:uiPriority w:val="99"/>
    <w:semiHidden/>
    <w:unhideWhenUsed/>
    <w:pPr/>
    <w:rPr>
      <w:sz w:val="20"/>
      <w:szCs w:val="20"/>
    </w:rPr>
  </w:style>
  <w:style w:type="paragraph" w:styleId="annotationsubject">
    <w:name w:val="annotation subject"/>
    <w:basedOn w:val="CommentText"/>
    <w:next w:val="CommentText"/>
    <w:link w:val="Style22"/>
    <w:uiPriority w:val="99"/>
    <w:semiHidden/>
    <w:unhideWhenUsed/>
    <w:qFormat/>
    <w:pPr/>
    <w:rPr>
      <w:b/>
      <w:bCs/>
    </w:rPr>
  </w:style>
  <w:style w:type="paragraph" w:styleId="Revision">
    <w:name w:val="Revision"/>
    <w:uiPriority w:val="99"/>
    <w:semiHidden/>
    <w:qFormat/>
    <w:pPr>
      <w:widowControl/>
      <w:suppressAutoHyphens w:val="true"/>
      <w:bidi w:val="0"/>
      <w:spacing w:before="0" w:after="0"/>
      <w:jc w:val="left"/>
    </w:pPr>
    <w:rPr>
      <w:rFonts w:ascii="Courier New" w:hAnsi="Courier New" w:eastAsia="Courier New" w:cs="Courier New"/>
      <w:color w:val="000000"/>
      <w:kern w:val="0"/>
      <w:sz w:val="24"/>
      <w:szCs w:val="24"/>
      <w:lang w:val="ru-RU" w:eastAsia="ru-RU" w:bidi="ru-RU"/>
    </w:rPr>
  </w:style>
  <w:style w:type="paragraph" w:styleId="ConsPlusNormal"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US" w:eastAsia="zh-CN" w:bidi="ar-SA"/>
    </w:rPr>
  </w:style>
  <w:style w:type="paragraph" w:styleId="28" w:customStyle="1">
    <w:name w:val="Основной текст2"/>
    <w:qFormat/>
    <w:pPr>
      <w:widowControl w:val="false"/>
      <w:shd w:val="clear" w:color="auto" w:fill="FFFFFF"/>
      <w:suppressAutoHyphens w:val="true"/>
      <w:bidi w:val="0"/>
      <w:spacing w:before="0" w:after="100"/>
      <w:jc w:val="both"/>
    </w:pPr>
    <w:rPr>
      <w:rFonts w:ascii="Times New Roman" w:hAnsi="Times New Roman" w:eastAsia="Times New Roman" w:cs="Times New Roman"/>
      <w:color w:val="000000"/>
      <w:kern w:val="0"/>
      <w:sz w:val="24"/>
      <w:szCs w:val="24"/>
      <w:lang w:val="ru-RU" w:eastAsia="ru-RU" w:bidi="ru-RU"/>
    </w:rPr>
  </w:style>
  <w:style w:type="paragraph" w:styleId="user4">
    <w:name w:val="Содержимое врезки (user)"/>
    <w:basedOn w:val="Normal"/>
    <w:qFormat/>
    <w:pPr/>
    <w:rPr/>
  </w:style>
  <w:style w:type="paragraph" w:styleId="Style29">
    <w:name w:val="Содержимое врезки"/>
    <w:basedOn w:val="Normal"/>
    <w:qFormat/>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user5" w:default="1">
    <w:name w:val="Без списка (user)"/>
    <w:uiPriority w:val="99"/>
    <w:semiHidden/>
    <w:unhideWhenUsed/>
    <w:qFormat/>
  </w:style>
  <w:style w:type="table" w:default="1" w:styleId="1370">
    <w:name w:val="Normal Table"/>
    <w:uiPriority w:val="99"/>
    <w:semiHidden/>
    <w:unhideWhenUsed/>
    <w:tblPr>
      <w:tblCellMar>
        <w:left w:w="108" w:type="dxa"/>
        <w:top w:w="0" w:type="dxa"/>
        <w:right w:w="108" w:type="dxa"/>
        <w:bottom w:w="0" w:type="dxa"/>
      </w:tblCellMar>
    </w:tblPr>
  </w:style>
  <w:style w:type="table" w:styleId="1382">
    <w:name w:val="Table Grid"/>
    <w:uiPriority w:val="59"/>
    <w:rPr>
      <w:lang w:bidi="ru-RU"/>
      <w:sz w:val="24"/>
      <w:szCs w:val="24"/>
    </w:rPr>
    <w:tblPr>
      <w:tblCellMar>
        <w:left w:w="0" w:type="dxa"/>
        <w:top w:w="0" w:type="dxa"/>
        <w:right w:w="0" w:type="dxa"/>
        <w:bottom w:w="0" w:type="dxa"/>
      </w:tblCellMar>
    </w:tblPr>
  </w:style>
  <w:style w:type="table" w:styleId="1383">
    <w:name w:val="Plain Table 1"/>
    <w:uiPriority w:val="59"/>
    <w:rPr>
      <w:lang w:bidi="ru-RU"/>
      <w:sz w:val="24"/>
      <w:szCs w:val="24"/>
    </w:rPr>
    <w:tblPr>
      <w:tblCellMar>
        <w:left w:w="0" w:type="dxa"/>
        <w:top w:w="0" w:type="dxa"/>
        <w:right w:w="0" w:type="dxa"/>
        <w:bottom w:w="0" w:type="dxa"/>
      </w:tblCellMar>
    </w:tblPr>
  </w:style>
  <w:style w:type="table" w:styleId="1384">
    <w:name w:val="Plain Table 2"/>
    <w:uiPriority w:val="59"/>
    <w:rPr>
      <w:lang w:bidi="ru-RU"/>
      <w:sz w:val="24"/>
      <w:szCs w:val="24"/>
    </w:rPr>
    <w:tblPr>
      <w:tblCellMar>
        <w:left w:w="0" w:type="dxa"/>
        <w:top w:w="0" w:type="dxa"/>
        <w:right w:w="0" w:type="dxa"/>
        <w:bottom w:w="0" w:type="dxa"/>
      </w:tblCellMar>
    </w:tblPr>
  </w:style>
  <w:style w:type="table" w:styleId="1385">
    <w:name w:val="Plain Table 3"/>
    <w:uiPriority w:val="99"/>
    <w:rPr>
      <w:lang w:bidi="ru-RU"/>
      <w:sz w:val="24"/>
      <w:szCs w:val="24"/>
    </w:rPr>
    <w:tblPr>
      <w:tblCellMar>
        <w:left w:w="0" w:type="dxa"/>
        <w:top w:w="0" w:type="dxa"/>
        <w:right w:w="0" w:type="dxa"/>
        <w:bottom w:w="0" w:type="dxa"/>
      </w:tblCellMar>
    </w:tblPr>
  </w:style>
  <w:style w:type="table" w:styleId="1386">
    <w:name w:val="Plain Table 4"/>
    <w:uiPriority w:val="99"/>
    <w:rPr>
      <w:lang w:bidi="ru-RU"/>
      <w:sz w:val="24"/>
      <w:szCs w:val="24"/>
    </w:rPr>
    <w:tblPr>
      <w:tblCellMar>
        <w:left w:w="0" w:type="dxa"/>
        <w:top w:w="0" w:type="dxa"/>
        <w:right w:w="0" w:type="dxa"/>
        <w:bottom w:w="0" w:type="dxa"/>
      </w:tblCellMar>
    </w:tblPr>
  </w:style>
  <w:style w:type="table" w:styleId="1387">
    <w:name w:val="Plain Table 5"/>
    <w:uiPriority w:val="99"/>
    <w:rPr>
      <w:lang w:bidi="ru-RU"/>
      <w:sz w:val="24"/>
      <w:szCs w:val="24"/>
    </w:rPr>
    <w:tblPr>
      <w:tblCellMar>
        <w:left w:w="0" w:type="dxa"/>
        <w:top w:w="0" w:type="dxa"/>
        <w:right w:w="0" w:type="dxa"/>
        <w:bottom w:w="0" w:type="dxa"/>
      </w:tblCellMar>
    </w:tblPr>
  </w:style>
  <w:style w:type="table" w:styleId="1388">
    <w:name w:val="Grid Table 1 Light"/>
    <w:uiPriority w:val="99"/>
    <w:rPr>
      <w:lang w:bidi="ru-RU"/>
      <w:sz w:val="24"/>
      <w:szCs w:val="24"/>
    </w:rPr>
    <w:tblPr>
      <w:tblCellMar>
        <w:left w:w="0" w:type="dxa"/>
        <w:top w:w="0" w:type="dxa"/>
        <w:right w:w="0" w:type="dxa"/>
        <w:bottom w:w="0" w:type="dxa"/>
      </w:tblCellMar>
    </w:tblPr>
  </w:style>
  <w:style w:type="table" w:styleId="1389">
    <w:name w:val="Grid Table 2"/>
    <w:uiPriority w:val="99"/>
    <w:rPr>
      <w:lang w:bidi="ru-RU"/>
      <w:sz w:val="24"/>
      <w:szCs w:val="24"/>
    </w:rPr>
    <w:tblPr>
      <w:tblCellMar>
        <w:left w:w="0" w:type="dxa"/>
        <w:top w:w="0" w:type="dxa"/>
        <w:right w:w="0" w:type="dxa"/>
        <w:bottom w:w="0" w:type="dxa"/>
      </w:tblCellMar>
    </w:tblPr>
  </w:style>
  <w:style w:type="table" w:styleId="1390">
    <w:name w:val="Grid Table 3"/>
    <w:uiPriority w:val="99"/>
    <w:rPr>
      <w:lang w:bidi="ru-RU"/>
      <w:sz w:val="24"/>
      <w:szCs w:val="24"/>
    </w:rPr>
    <w:tblPr>
      <w:tblCellMar>
        <w:left w:w="0" w:type="dxa"/>
        <w:top w:w="0" w:type="dxa"/>
        <w:right w:w="0" w:type="dxa"/>
        <w:bottom w:w="0" w:type="dxa"/>
      </w:tblCellMar>
    </w:tblPr>
  </w:style>
  <w:style w:type="table" w:styleId="1391">
    <w:name w:val="Grid Table 4"/>
    <w:uiPriority w:val="59"/>
    <w:rPr>
      <w:lang w:bidi="ru-RU"/>
      <w:sz w:val="24"/>
      <w:szCs w:val="24"/>
    </w:rPr>
    <w:tblPr>
      <w:tblCellMar>
        <w:left w:w="0" w:type="dxa"/>
        <w:top w:w="0" w:type="dxa"/>
        <w:right w:w="0" w:type="dxa"/>
        <w:bottom w:w="0" w:type="dxa"/>
      </w:tblCellMar>
    </w:tblPr>
  </w:style>
  <w:style w:type="table" w:styleId="1392">
    <w:name w:val="Grid Table 5 Dark"/>
    <w:uiPriority w:val="99"/>
    <w:rPr>
      <w:lang w:bidi="ru-RU"/>
      <w:sz w:val="24"/>
      <w:szCs w:val="24"/>
    </w:rPr>
    <w:tblPr>
      <w:tblCellMar>
        <w:left w:w="0" w:type="dxa"/>
        <w:top w:w="0" w:type="dxa"/>
        <w:right w:w="0" w:type="dxa"/>
        <w:bottom w:w="0" w:type="dxa"/>
      </w:tblCellMar>
    </w:tblPr>
  </w:style>
  <w:style w:type="table" w:styleId="1393">
    <w:name w:val="Grid Table 6 Colorful"/>
    <w:uiPriority w:val="99"/>
    <w:rPr>
      <w:lang w:bidi="ru-RU"/>
      <w:sz w:val="24"/>
      <w:szCs w:val="24"/>
    </w:rPr>
    <w:tblPr>
      <w:tblCellMar>
        <w:left w:w="0" w:type="dxa"/>
        <w:top w:w="0" w:type="dxa"/>
        <w:right w:w="0" w:type="dxa"/>
        <w:bottom w:w="0" w:type="dxa"/>
      </w:tblCellMar>
    </w:tblPr>
  </w:style>
  <w:style w:type="table" w:styleId="1394">
    <w:name w:val="Grid Table 7 Colorful"/>
    <w:uiPriority w:val="99"/>
    <w:rPr>
      <w:lang w:bidi="ru-RU"/>
      <w:sz w:val="24"/>
      <w:szCs w:val="24"/>
    </w:rPr>
    <w:tblPr>
      <w:tblCellMar>
        <w:left w:w="0" w:type="dxa"/>
        <w:top w:w="0" w:type="dxa"/>
        <w:right w:w="0" w:type="dxa"/>
        <w:bottom w:w="0" w:type="dxa"/>
      </w:tblCellMar>
    </w:tblPr>
  </w:style>
  <w:style w:type="table" w:styleId="1395">
    <w:name w:val="List Table 1 Light"/>
    <w:uiPriority w:val="99"/>
    <w:rPr>
      <w:lang w:bidi="ru-RU"/>
      <w:sz w:val="24"/>
      <w:szCs w:val="24"/>
    </w:rPr>
    <w:tblPr>
      <w:tblCellMar>
        <w:left w:w="0" w:type="dxa"/>
        <w:top w:w="0" w:type="dxa"/>
        <w:right w:w="0" w:type="dxa"/>
        <w:bottom w:w="0" w:type="dxa"/>
      </w:tblCellMar>
    </w:tblPr>
  </w:style>
  <w:style w:type="table" w:styleId="1396">
    <w:name w:val="List Table 2"/>
    <w:uiPriority w:val="99"/>
    <w:rPr>
      <w:lang w:bidi="ru-RU"/>
      <w:sz w:val="24"/>
      <w:szCs w:val="24"/>
    </w:rPr>
    <w:tblPr>
      <w:tblCellMar>
        <w:left w:w="0" w:type="dxa"/>
        <w:top w:w="0" w:type="dxa"/>
        <w:right w:w="0" w:type="dxa"/>
        <w:bottom w:w="0" w:type="dxa"/>
      </w:tblCellMar>
    </w:tblPr>
  </w:style>
  <w:style w:type="table" w:styleId="1397">
    <w:name w:val="List Table 3"/>
    <w:uiPriority w:val="99"/>
    <w:rPr>
      <w:lang w:bidi="ru-RU"/>
      <w:sz w:val="24"/>
      <w:szCs w:val="24"/>
    </w:rPr>
    <w:tblPr>
      <w:tblCellMar>
        <w:left w:w="0" w:type="dxa"/>
        <w:top w:w="0" w:type="dxa"/>
        <w:right w:w="0" w:type="dxa"/>
        <w:bottom w:w="0" w:type="dxa"/>
      </w:tblCellMar>
    </w:tblPr>
  </w:style>
  <w:style w:type="table" w:styleId="1398">
    <w:name w:val="List Table 4"/>
    <w:uiPriority w:val="99"/>
    <w:rPr>
      <w:lang w:bidi="ru-RU"/>
      <w:sz w:val="24"/>
      <w:szCs w:val="24"/>
    </w:rPr>
    <w:tblPr>
      <w:tblCellMar>
        <w:left w:w="0" w:type="dxa"/>
        <w:top w:w="0" w:type="dxa"/>
        <w:right w:w="0" w:type="dxa"/>
        <w:bottom w:w="0" w:type="dxa"/>
      </w:tblCellMar>
    </w:tblPr>
  </w:style>
  <w:style w:type="table" w:styleId="1399">
    <w:name w:val="List Table 5 Dark"/>
    <w:uiPriority w:val="99"/>
    <w:rPr>
      <w:lang w:bidi="ru-RU"/>
      <w:sz w:val="24"/>
      <w:szCs w:val="24"/>
    </w:rPr>
    <w:tblPr>
      <w:tblCellMar>
        <w:left w:w="0" w:type="dxa"/>
        <w:top w:w="0" w:type="dxa"/>
        <w:right w:w="0" w:type="dxa"/>
        <w:bottom w:w="0" w:type="dxa"/>
      </w:tblCellMar>
    </w:tblPr>
  </w:style>
  <w:style w:type="table" w:styleId="1400">
    <w:name w:val="List Table 6 Colorful"/>
    <w:uiPriority w:val="99"/>
    <w:rPr>
      <w:lang w:bidi="ru-RU"/>
      <w:sz w:val="24"/>
      <w:szCs w:val="24"/>
    </w:rPr>
    <w:tblPr>
      <w:tblCellMar>
        <w:left w:w="0" w:type="dxa"/>
        <w:top w:w="0" w:type="dxa"/>
        <w:right w:w="0" w:type="dxa"/>
        <w:bottom w:w="0" w:type="dxa"/>
      </w:tblCellMar>
    </w:tblPr>
  </w:style>
  <w:style w:type="table" w:styleId="1401">
    <w:name w:val="List Table 7 Colorful"/>
    <w:uiPriority w:val="99"/>
    <w:rPr>
      <w:lang w:bidi="ru-RU"/>
      <w:sz w:val="24"/>
      <w:szCs w:val="24"/>
    </w:rPr>
    <w:tblPr>
      <w:tblCellMar>
        <w:left w:w="0" w:type="dxa"/>
        <w:top w:w="0" w:type="dxa"/>
        <w:right w:w="0" w:type="dxa"/>
        <w:bottom w:w="0" w:type="dxa"/>
      </w:tblCellMar>
    </w:tblPr>
  </w:style>
  <w:style w:type="table" w:customStyle="1" w:styleId="1451">
    <w:name w:val="Table Grid Light"/>
    <w:uiPriority w:val="59"/>
    <w:rPr>
      <w:lang w:bidi="ru-RU"/>
      <w:sz w:val="24"/>
      <w:szCs w:val="24"/>
    </w:rPr>
    <w:tblPr>
      <w:tblCellMar>
        <w:left w:w="0" w:type="dxa"/>
        <w:top w:w="0" w:type="dxa"/>
        <w:right w:w="0" w:type="dxa"/>
        <w:bottom w:w="0" w:type="dxa"/>
      </w:tblCellMar>
    </w:tblPr>
  </w:style>
  <w:style w:type="table" w:customStyle="1" w:styleId="1452">
    <w:name w:val="Grid Table 1 Light - Accent 1"/>
    <w:uiPriority w:val="99"/>
    <w:rPr>
      <w:lang w:bidi="ru-RU"/>
      <w:sz w:val="24"/>
      <w:szCs w:val="24"/>
    </w:rPr>
    <w:tblPr>
      <w:tblCellMar>
        <w:left w:w="0" w:type="dxa"/>
        <w:top w:w="0" w:type="dxa"/>
        <w:right w:w="0" w:type="dxa"/>
        <w:bottom w:w="0" w:type="dxa"/>
      </w:tblCellMar>
    </w:tblPr>
  </w:style>
  <w:style w:type="table" w:customStyle="1" w:styleId="1453">
    <w:name w:val="Grid Table 1 Light - Accent 2"/>
    <w:uiPriority w:val="99"/>
    <w:rPr>
      <w:lang w:bidi="ru-RU"/>
      <w:sz w:val="24"/>
      <w:szCs w:val="24"/>
    </w:rPr>
    <w:tblPr>
      <w:tblCellMar>
        <w:left w:w="0" w:type="dxa"/>
        <w:top w:w="0" w:type="dxa"/>
        <w:right w:w="0" w:type="dxa"/>
        <w:bottom w:w="0" w:type="dxa"/>
      </w:tblCellMar>
    </w:tblPr>
  </w:style>
  <w:style w:type="table" w:customStyle="1" w:styleId="1454">
    <w:name w:val="Grid Table 1 Light - Accent 3"/>
    <w:uiPriority w:val="99"/>
    <w:rPr>
      <w:lang w:bidi="ru-RU"/>
      <w:sz w:val="24"/>
      <w:szCs w:val="24"/>
    </w:rPr>
    <w:tblPr>
      <w:tblCellMar>
        <w:left w:w="0" w:type="dxa"/>
        <w:top w:w="0" w:type="dxa"/>
        <w:right w:w="0" w:type="dxa"/>
        <w:bottom w:w="0" w:type="dxa"/>
      </w:tblCellMar>
    </w:tblPr>
  </w:style>
  <w:style w:type="table" w:customStyle="1" w:styleId="1455">
    <w:name w:val="Grid Table 1 Light - Accent 4"/>
    <w:uiPriority w:val="99"/>
    <w:rPr>
      <w:lang w:bidi="ru-RU"/>
      <w:sz w:val="24"/>
      <w:szCs w:val="24"/>
    </w:rPr>
    <w:tblPr>
      <w:tblCellMar>
        <w:left w:w="0" w:type="dxa"/>
        <w:top w:w="0" w:type="dxa"/>
        <w:right w:w="0" w:type="dxa"/>
        <w:bottom w:w="0" w:type="dxa"/>
      </w:tblCellMar>
    </w:tblPr>
  </w:style>
  <w:style w:type="table" w:customStyle="1" w:styleId="1456">
    <w:name w:val="Grid Table 1 Light - Accent 5"/>
    <w:uiPriority w:val="99"/>
    <w:rPr>
      <w:lang w:bidi="ru-RU"/>
      <w:sz w:val="24"/>
      <w:szCs w:val="24"/>
    </w:rPr>
    <w:tblPr>
      <w:tblCellMar>
        <w:left w:w="0" w:type="dxa"/>
        <w:top w:w="0" w:type="dxa"/>
        <w:right w:w="0" w:type="dxa"/>
        <w:bottom w:w="0" w:type="dxa"/>
      </w:tblCellMar>
    </w:tblPr>
  </w:style>
  <w:style w:type="table" w:customStyle="1" w:styleId="1457">
    <w:name w:val="Grid Table 1 Light - Accent 6"/>
    <w:uiPriority w:val="99"/>
    <w:rPr>
      <w:lang w:bidi="ru-RU"/>
      <w:sz w:val="24"/>
      <w:szCs w:val="24"/>
    </w:rPr>
    <w:tblPr>
      <w:tblCellMar>
        <w:left w:w="0" w:type="dxa"/>
        <w:top w:w="0" w:type="dxa"/>
        <w:right w:w="0" w:type="dxa"/>
        <w:bottom w:w="0" w:type="dxa"/>
      </w:tblCellMar>
    </w:tblPr>
  </w:style>
  <w:style w:type="table" w:customStyle="1" w:styleId="1458">
    <w:name w:val="Grid Table 2 - Accent 1"/>
    <w:uiPriority w:val="99"/>
    <w:rPr>
      <w:lang w:bidi="ru-RU"/>
      <w:sz w:val="24"/>
      <w:szCs w:val="24"/>
    </w:rPr>
    <w:tblPr>
      <w:tblCellMar>
        <w:left w:w="0" w:type="dxa"/>
        <w:top w:w="0" w:type="dxa"/>
        <w:right w:w="0" w:type="dxa"/>
        <w:bottom w:w="0" w:type="dxa"/>
      </w:tblCellMar>
    </w:tblPr>
  </w:style>
  <w:style w:type="table" w:customStyle="1" w:styleId="1459">
    <w:name w:val="Grid Table 2 - Accent 2"/>
    <w:uiPriority w:val="99"/>
    <w:rPr>
      <w:lang w:bidi="ru-RU"/>
      <w:sz w:val="24"/>
      <w:szCs w:val="24"/>
    </w:rPr>
    <w:tblPr>
      <w:tblCellMar>
        <w:left w:w="0" w:type="dxa"/>
        <w:top w:w="0" w:type="dxa"/>
        <w:right w:w="0" w:type="dxa"/>
        <w:bottom w:w="0" w:type="dxa"/>
      </w:tblCellMar>
    </w:tblPr>
  </w:style>
  <w:style w:type="table" w:customStyle="1" w:styleId="1460">
    <w:name w:val="Grid Table 2 - Accent 3"/>
    <w:uiPriority w:val="99"/>
    <w:rPr>
      <w:lang w:bidi="ru-RU"/>
      <w:sz w:val="24"/>
      <w:szCs w:val="24"/>
    </w:rPr>
    <w:tblPr>
      <w:tblCellMar>
        <w:left w:w="0" w:type="dxa"/>
        <w:top w:w="0" w:type="dxa"/>
        <w:right w:w="0" w:type="dxa"/>
        <w:bottom w:w="0" w:type="dxa"/>
      </w:tblCellMar>
    </w:tblPr>
  </w:style>
  <w:style w:type="table" w:customStyle="1" w:styleId="1461">
    <w:name w:val="Grid Table 2 - Accent 4"/>
    <w:uiPriority w:val="99"/>
    <w:rPr>
      <w:lang w:bidi="ru-RU"/>
      <w:sz w:val="24"/>
      <w:szCs w:val="24"/>
    </w:rPr>
    <w:tblPr>
      <w:tblCellMar>
        <w:left w:w="0" w:type="dxa"/>
        <w:top w:w="0" w:type="dxa"/>
        <w:right w:w="0" w:type="dxa"/>
        <w:bottom w:w="0" w:type="dxa"/>
      </w:tblCellMar>
    </w:tblPr>
  </w:style>
  <w:style w:type="table" w:customStyle="1" w:styleId="1462">
    <w:name w:val="Grid Table 2 - Accent 5"/>
    <w:uiPriority w:val="99"/>
    <w:rPr>
      <w:lang w:bidi="ru-RU"/>
      <w:sz w:val="24"/>
      <w:szCs w:val="24"/>
    </w:rPr>
    <w:tblPr>
      <w:tblCellMar>
        <w:left w:w="0" w:type="dxa"/>
        <w:top w:w="0" w:type="dxa"/>
        <w:right w:w="0" w:type="dxa"/>
        <w:bottom w:w="0" w:type="dxa"/>
      </w:tblCellMar>
    </w:tblPr>
  </w:style>
  <w:style w:type="table" w:customStyle="1" w:styleId="1463">
    <w:name w:val="Grid Table 2 - Accent 6"/>
    <w:uiPriority w:val="99"/>
    <w:rPr>
      <w:lang w:bidi="ru-RU"/>
      <w:sz w:val="24"/>
      <w:szCs w:val="24"/>
    </w:rPr>
    <w:tblPr>
      <w:tblCellMar>
        <w:left w:w="0" w:type="dxa"/>
        <w:top w:w="0" w:type="dxa"/>
        <w:right w:w="0" w:type="dxa"/>
        <w:bottom w:w="0" w:type="dxa"/>
      </w:tblCellMar>
    </w:tblPr>
  </w:style>
  <w:style w:type="table" w:customStyle="1" w:styleId="1464">
    <w:name w:val="Grid Table 3 - Accent 1"/>
    <w:uiPriority w:val="99"/>
    <w:rPr>
      <w:lang w:bidi="ru-RU"/>
      <w:sz w:val="24"/>
      <w:szCs w:val="24"/>
    </w:rPr>
    <w:tblPr>
      <w:tblCellMar>
        <w:left w:w="0" w:type="dxa"/>
        <w:top w:w="0" w:type="dxa"/>
        <w:right w:w="0" w:type="dxa"/>
        <w:bottom w:w="0" w:type="dxa"/>
      </w:tblCellMar>
    </w:tblPr>
  </w:style>
  <w:style w:type="table" w:customStyle="1" w:styleId="1465">
    <w:name w:val="Grid Table 3 - Accent 2"/>
    <w:uiPriority w:val="99"/>
    <w:rPr>
      <w:lang w:bidi="ru-RU"/>
      <w:sz w:val="24"/>
      <w:szCs w:val="24"/>
    </w:rPr>
    <w:tblPr>
      <w:tblCellMar>
        <w:left w:w="0" w:type="dxa"/>
        <w:top w:w="0" w:type="dxa"/>
        <w:right w:w="0" w:type="dxa"/>
        <w:bottom w:w="0" w:type="dxa"/>
      </w:tblCellMar>
    </w:tblPr>
  </w:style>
  <w:style w:type="table" w:customStyle="1" w:styleId="1466">
    <w:name w:val="Grid Table 3 - Accent 3"/>
    <w:uiPriority w:val="99"/>
    <w:rPr>
      <w:lang w:bidi="ru-RU"/>
      <w:sz w:val="24"/>
      <w:szCs w:val="24"/>
    </w:rPr>
    <w:tblPr>
      <w:tblCellMar>
        <w:left w:w="0" w:type="dxa"/>
        <w:top w:w="0" w:type="dxa"/>
        <w:right w:w="0" w:type="dxa"/>
        <w:bottom w:w="0" w:type="dxa"/>
      </w:tblCellMar>
    </w:tblPr>
  </w:style>
  <w:style w:type="table" w:customStyle="1" w:styleId="1467">
    <w:name w:val="Grid Table 3 - Accent 4"/>
    <w:uiPriority w:val="99"/>
    <w:rPr>
      <w:lang w:bidi="ru-RU"/>
      <w:sz w:val="24"/>
      <w:szCs w:val="24"/>
    </w:rPr>
    <w:tblPr>
      <w:tblCellMar>
        <w:left w:w="0" w:type="dxa"/>
        <w:top w:w="0" w:type="dxa"/>
        <w:right w:w="0" w:type="dxa"/>
        <w:bottom w:w="0" w:type="dxa"/>
      </w:tblCellMar>
    </w:tblPr>
  </w:style>
  <w:style w:type="table" w:customStyle="1" w:styleId="1468">
    <w:name w:val="Grid Table 3 - Accent 5"/>
    <w:uiPriority w:val="99"/>
    <w:rPr>
      <w:lang w:bidi="ru-RU"/>
      <w:sz w:val="24"/>
      <w:szCs w:val="24"/>
    </w:rPr>
    <w:tblPr>
      <w:tblCellMar>
        <w:left w:w="0" w:type="dxa"/>
        <w:top w:w="0" w:type="dxa"/>
        <w:right w:w="0" w:type="dxa"/>
        <w:bottom w:w="0" w:type="dxa"/>
      </w:tblCellMar>
    </w:tblPr>
  </w:style>
  <w:style w:type="table" w:customStyle="1" w:styleId="1469">
    <w:name w:val="Grid Table 3 - Accent 6"/>
    <w:uiPriority w:val="99"/>
    <w:rPr>
      <w:lang w:bidi="ru-RU"/>
      <w:sz w:val="24"/>
      <w:szCs w:val="24"/>
    </w:rPr>
    <w:tblPr>
      <w:tblCellMar>
        <w:left w:w="0" w:type="dxa"/>
        <w:top w:w="0" w:type="dxa"/>
        <w:right w:w="0" w:type="dxa"/>
        <w:bottom w:w="0" w:type="dxa"/>
      </w:tblCellMar>
    </w:tblPr>
  </w:style>
  <w:style w:type="table" w:customStyle="1" w:styleId="1470">
    <w:name w:val="Grid Table 4 - Accent 1"/>
    <w:uiPriority w:val="59"/>
    <w:rPr>
      <w:lang w:bidi="ru-RU"/>
      <w:sz w:val="24"/>
      <w:szCs w:val="24"/>
    </w:rPr>
    <w:tblPr>
      <w:tblCellMar>
        <w:left w:w="0" w:type="dxa"/>
        <w:top w:w="0" w:type="dxa"/>
        <w:right w:w="0" w:type="dxa"/>
        <w:bottom w:w="0" w:type="dxa"/>
      </w:tblCellMar>
    </w:tblPr>
  </w:style>
  <w:style w:type="table" w:customStyle="1" w:styleId="1471">
    <w:name w:val="Grid Table 4 - Accent 2"/>
    <w:uiPriority w:val="59"/>
    <w:rPr>
      <w:lang w:bidi="ru-RU"/>
      <w:sz w:val="24"/>
      <w:szCs w:val="24"/>
    </w:rPr>
    <w:tblPr>
      <w:tblCellMar>
        <w:left w:w="0" w:type="dxa"/>
        <w:top w:w="0" w:type="dxa"/>
        <w:right w:w="0" w:type="dxa"/>
        <w:bottom w:w="0" w:type="dxa"/>
      </w:tblCellMar>
    </w:tblPr>
  </w:style>
  <w:style w:type="table" w:customStyle="1" w:styleId="1472">
    <w:name w:val="Grid Table 4 - Accent 3"/>
    <w:uiPriority w:val="59"/>
    <w:rPr>
      <w:lang w:bidi="ru-RU"/>
      <w:sz w:val="24"/>
      <w:szCs w:val="24"/>
    </w:rPr>
    <w:tblPr>
      <w:tblCellMar>
        <w:left w:w="0" w:type="dxa"/>
        <w:top w:w="0" w:type="dxa"/>
        <w:right w:w="0" w:type="dxa"/>
        <w:bottom w:w="0" w:type="dxa"/>
      </w:tblCellMar>
    </w:tblPr>
  </w:style>
  <w:style w:type="table" w:customStyle="1" w:styleId="1473">
    <w:name w:val="Grid Table 4 - Accent 4"/>
    <w:uiPriority w:val="59"/>
    <w:rPr>
      <w:lang w:bidi="ru-RU"/>
      <w:sz w:val="24"/>
      <w:szCs w:val="24"/>
    </w:rPr>
    <w:tblPr>
      <w:tblCellMar>
        <w:left w:w="0" w:type="dxa"/>
        <w:top w:w="0" w:type="dxa"/>
        <w:right w:w="0" w:type="dxa"/>
        <w:bottom w:w="0" w:type="dxa"/>
      </w:tblCellMar>
    </w:tblPr>
  </w:style>
  <w:style w:type="table" w:customStyle="1" w:styleId="1474">
    <w:name w:val="Grid Table 4 - Accent 5"/>
    <w:uiPriority w:val="59"/>
    <w:rPr>
      <w:lang w:bidi="ru-RU"/>
      <w:sz w:val="24"/>
      <w:szCs w:val="24"/>
    </w:rPr>
    <w:tblPr>
      <w:tblCellMar>
        <w:left w:w="0" w:type="dxa"/>
        <w:top w:w="0" w:type="dxa"/>
        <w:right w:w="0" w:type="dxa"/>
        <w:bottom w:w="0" w:type="dxa"/>
      </w:tblCellMar>
    </w:tblPr>
  </w:style>
  <w:style w:type="table" w:customStyle="1" w:styleId="1475">
    <w:name w:val="Grid Table 4 - Accent 6"/>
    <w:uiPriority w:val="59"/>
    <w:rPr>
      <w:lang w:bidi="ru-RU"/>
      <w:sz w:val="24"/>
      <w:szCs w:val="24"/>
    </w:rPr>
    <w:tblPr>
      <w:tblCellMar>
        <w:left w:w="0" w:type="dxa"/>
        <w:top w:w="0" w:type="dxa"/>
        <w:right w:w="0" w:type="dxa"/>
        <w:bottom w:w="0" w:type="dxa"/>
      </w:tblCellMar>
    </w:tblPr>
  </w:style>
  <w:style w:type="table" w:customStyle="1" w:styleId="1476">
    <w:name w:val="Grid Table 5 Dark- Accent 1"/>
    <w:uiPriority w:val="99"/>
    <w:rPr>
      <w:lang w:bidi="ru-RU"/>
      <w:sz w:val="24"/>
      <w:szCs w:val="24"/>
    </w:rPr>
    <w:tblPr>
      <w:tblCellMar>
        <w:left w:w="0" w:type="dxa"/>
        <w:top w:w="0" w:type="dxa"/>
        <w:right w:w="0" w:type="dxa"/>
        <w:bottom w:w="0" w:type="dxa"/>
      </w:tblCellMar>
    </w:tblPr>
  </w:style>
  <w:style w:type="table" w:customStyle="1" w:styleId="1477">
    <w:name w:val="Grid Table 5 Dark - Accent 2"/>
    <w:uiPriority w:val="99"/>
    <w:rPr>
      <w:lang w:bidi="ru-RU"/>
      <w:sz w:val="24"/>
      <w:szCs w:val="24"/>
    </w:rPr>
    <w:tblPr>
      <w:tblCellMar>
        <w:left w:w="0" w:type="dxa"/>
        <w:top w:w="0" w:type="dxa"/>
        <w:right w:w="0" w:type="dxa"/>
        <w:bottom w:w="0" w:type="dxa"/>
      </w:tblCellMar>
    </w:tblPr>
  </w:style>
  <w:style w:type="table" w:customStyle="1" w:styleId="1478">
    <w:name w:val="Grid Table 5 Dark - Accent 3"/>
    <w:uiPriority w:val="99"/>
    <w:rPr>
      <w:lang w:bidi="ru-RU"/>
      <w:sz w:val="24"/>
      <w:szCs w:val="24"/>
    </w:rPr>
    <w:tblPr>
      <w:tblCellMar>
        <w:left w:w="0" w:type="dxa"/>
        <w:top w:w="0" w:type="dxa"/>
        <w:right w:w="0" w:type="dxa"/>
        <w:bottom w:w="0" w:type="dxa"/>
      </w:tblCellMar>
    </w:tblPr>
  </w:style>
  <w:style w:type="table" w:customStyle="1" w:styleId="1479">
    <w:name w:val="Grid Table 5 Dark- Accent 4"/>
    <w:uiPriority w:val="99"/>
    <w:rPr>
      <w:lang w:bidi="ru-RU"/>
      <w:sz w:val="24"/>
      <w:szCs w:val="24"/>
    </w:rPr>
    <w:tblPr>
      <w:tblCellMar>
        <w:left w:w="0" w:type="dxa"/>
        <w:top w:w="0" w:type="dxa"/>
        <w:right w:w="0" w:type="dxa"/>
        <w:bottom w:w="0" w:type="dxa"/>
      </w:tblCellMar>
    </w:tblPr>
  </w:style>
  <w:style w:type="table" w:customStyle="1" w:styleId="1480">
    <w:name w:val="Grid Table 5 Dark - Accent 5"/>
    <w:uiPriority w:val="99"/>
    <w:rPr>
      <w:lang w:bidi="ru-RU"/>
      <w:sz w:val="24"/>
      <w:szCs w:val="24"/>
    </w:rPr>
    <w:tblPr>
      <w:tblCellMar>
        <w:left w:w="0" w:type="dxa"/>
        <w:top w:w="0" w:type="dxa"/>
        <w:right w:w="0" w:type="dxa"/>
        <w:bottom w:w="0" w:type="dxa"/>
      </w:tblCellMar>
    </w:tblPr>
  </w:style>
  <w:style w:type="table" w:customStyle="1" w:styleId="1481">
    <w:name w:val="Grid Table 5 Dark - Accent 6"/>
    <w:uiPriority w:val="99"/>
    <w:rPr>
      <w:lang w:bidi="ru-RU"/>
      <w:sz w:val="24"/>
      <w:szCs w:val="24"/>
    </w:rPr>
    <w:tblPr>
      <w:tblCellMar>
        <w:left w:w="0" w:type="dxa"/>
        <w:top w:w="0" w:type="dxa"/>
        <w:right w:w="0" w:type="dxa"/>
        <w:bottom w:w="0" w:type="dxa"/>
      </w:tblCellMar>
    </w:tblPr>
  </w:style>
  <w:style w:type="table" w:customStyle="1" w:styleId="1482">
    <w:name w:val="Grid Table 6 Colorful - Accent 1"/>
    <w:uiPriority w:val="99"/>
    <w:rPr>
      <w:lang w:bidi="ru-RU"/>
      <w:sz w:val="24"/>
      <w:szCs w:val="24"/>
    </w:rPr>
    <w:tblPr>
      <w:tblCellMar>
        <w:left w:w="0" w:type="dxa"/>
        <w:top w:w="0" w:type="dxa"/>
        <w:right w:w="0" w:type="dxa"/>
        <w:bottom w:w="0" w:type="dxa"/>
      </w:tblCellMar>
    </w:tblPr>
  </w:style>
  <w:style w:type="table" w:customStyle="1" w:styleId="1483">
    <w:name w:val="Grid Table 6 Colorful - Accent 2"/>
    <w:uiPriority w:val="99"/>
    <w:rPr>
      <w:lang w:bidi="ru-RU"/>
      <w:sz w:val="24"/>
      <w:szCs w:val="24"/>
    </w:rPr>
    <w:tblPr>
      <w:tblCellMar>
        <w:left w:w="0" w:type="dxa"/>
        <w:top w:w="0" w:type="dxa"/>
        <w:right w:w="0" w:type="dxa"/>
        <w:bottom w:w="0" w:type="dxa"/>
      </w:tblCellMar>
    </w:tblPr>
  </w:style>
  <w:style w:type="table" w:customStyle="1" w:styleId="1484">
    <w:name w:val="Grid Table 6 Colorful - Accent 3"/>
    <w:uiPriority w:val="99"/>
    <w:rPr>
      <w:lang w:bidi="ru-RU"/>
      <w:sz w:val="24"/>
      <w:szCs w:val="24"/>
    </w:rPr>
    <w:tblPr>
      <w:tblCellMar>
        <w:left w:w="0" w:type="dxa"/>
        <w:top w:w="0" w:type="dxa"/>
        <w:right w:w="0" w:type="dxa"/>
        <w:bottom w:w="0" w:type="dxa"/>
      </w:tblCellMar>
    </w:tblPr>
  </w:style>
  <w:style w:type="table" w:customStyle="1" w:styleId="1485">
    <w:name w:val="Grid Table 6 Colorful - Accent 4"/>
    <w:uiPriority w:val="99"/>
    <w:rPr>
      <w:lang w:bidi="ru-RU"/>
      <w:sz w:val="24"/>
      <w:szCs w:val="24"/>
    </w:rPr>
    <w:tblPr>
      <w:tblCellMar>
        <w:left w:w="0" w:type="dxa"/>
        <w:top w:w="0" w:type="dxa"/>
        <w:right w:w="0" w:type="dxa"/>
        <w:bottom w:w="0" w:type="dxa"/>
      </w:tblCellMar>
    </w:tblPr>
  </w:style>
  <w:style w:type="table" w:customStyle="1" w:styleId="1486">
    <w:name w:val="Grid Table 6 Colorful - Accent 5"/>
    <w:uiPriority w:val="99"/>
    <w:rPr>
      <w:lang w:bidi="ru-RU"/>
      <w:sz w:val="24"/>
      <w:szCs w:val="24"/>
    </w:rPr>
    <w:tblPr>
      <w:tblCellMar>
        <w:left w:w="0" w:type="dxa"/>
        <w:top w:w="0" w:type="dxa"/>
        <w:right w:w="0" w:type="dxa"/>
        <w:bottom w:w="0" w:type="dxa"/>
      </w:tblCellMar>
    </w:tblPr>
  </w:style>
  <w:style w:type="table" w:customStyle="1" w:styleId="1487">
    <w:name w:val="Grid Table 6 Colorful - Accent 6"/>
    <w:uiPriority w:val="99"/>
    <w:rPr>
      <w:lang w:bidi="ru-RU"/>
      <w:sz w:val="24"/>
      <w:szCs w:val="24"/>
    </w:rPr>
    <w:tblPr>
      <w:tblCellMar>
        <w:left w:w="0" w:type="dxa"/>
        <w:top w:w="0" w:type="dxa"/>
        <w:right w:w="0" w:type="dxa"/>
        <w:bottom w:w="0" w:type="dxa"/>
      </w:tblCellMar>
    </w:tblPr>
  </w:style>
  <w:style w:type="table" w:customStyle="1" w:styleId="1488">
    <w:name w:val="Grid Table 7 Colorful - Accent 1"/>
    <w:uiPriority w:val="99"/>
    <w:rPr>
      <w:lang w:bidi="ru-RU"/>
      <w:sz w:val="24"/>
      <w:szCs w:val="24"/>
    </w:rPr>
    <w:tblPr>
      <w:tblCellMar>
        <w:left w:w="0" w:type="dxa"/>
        <w:top w:w="0" w:type="dxa"/>
        <w:right w:w="0" w:type="dxa"/>
        <w:bottom w:w="0" w:type="dxa"/>
      </w:tblCellMar>
    </w:tblPr>
  </w:style>
  <w:style w:type="table" w:customStyle="1" w:styleId="1489">
    <w:name w:val="Grid Table 7 Colorful - Accent 2"/>
    <w:uiPriority w:val="99"/>
    <w:rPr>
      <w:lang w:bidi="ru-RU"/>
      <w:sz w:val="24"/>
      <w:szCs w:val="24"/>
    </w:rPr>
    <w:tblPr>
      <w:tblCellMar>
        <w:left w:w="0" w:type="dxa"/>
        <w:top w:w="0" w:type="dxa"/>
        <w:right w:w="0" w:type="dxa"/>
        <w:bottom w:w="0" w:type="dxa"/>
      </w:tblCellMar>
    </w:tblPr>
  </w:style>
  <w:style w:type="table" w:customStyle="1" w:styleId="1490">
    <w:name w:val="Grid Table 7 Colorful - Accent 3"/>
    <w:uiPriority w:val="99"/>
    <w:rPr>
      <w:lang w:bidi="ru-RU"/>
      <w:sz w:val="24"/>
      <w:szCs w:val="24"/>
    </w:rPr>
    <w:tblPr>
      <w:tblCellMar>
        <w:left w:w="0" w:type="dxa"/>
        <w:top w:w="0" w:type="dxa"/>
        <w:right w:w="0" w:type="dxa"/>
        <w:bottom w:w="0" w:type="dxa"/>
      </w:tblCellMar>
    </w:tblPr>
  </w:style>
  <w:style w:type="table" w:customStyle="1" w:styleId="1491">
    <w:name w:val="Grid Table 7 Colorful - Accent 4"/>
    <w:uiPriority w:val="99"/>
    <w:rPr>
      <w:lang w:bidi="ru-RU"/>
      <w:sz w:val="24"/>
      <w:szCs w:val="24"/>
    </w:rPr>
    <w:tblPr>
      <w:tblCellMar>
        <w:left w:w="0" w:type="dxa"/>
        <w:top w:w="0" w:type="dxa"/>
        <w:right w:w="0" w:type="dxa"/>
        <w:bottom w:w="0" w:type="dxa"/>
      </w:tblCellMar>
    </w:tblPr>
  </w:style>
  <w:style w:type="table" w:customStyle="1" w:styleId="1492">
    <w:name w:val="Grid Table 7 Colorful - Accent 5"/>
    <w:uiPriority w:val="99"/>
    <w:rPr>
      <w:lang w:bidi="ru-RU"/>
      <w:sz w:val="24"/>
      <w:szCs w:val="24"/>
    </w:rPr>
    <w:tblPr>
      <w:tblCellMar>
        <w:left w:w="0" w:type="dxa"/>
        <w:top w:w="0" w:type="dxa"/>
        <w:right w:w="0" w:type="dxa"/>
        <w:bottom w:w="0" w:type="dxa"/>
      </w:tblCellMar>
    </w:tblPr>
  </w:style>
  <w:style w:type="table" w:customStyle="1" w:styleId="1493">
    <w:name w:val="Grid Table 7 Colorful - Accent 6"/>
    <w:uiPriority w:val="99"/>
    <w:rPr>
      <w:lang w:bidi="ru-RU"/>
      <w:sz w:val="24"/>
      <w:szCs w:val="24"/>
    </w:rPr>
    <w:tblPr>
      <w:tblCellMar>
        <w:left w:w="0" w:type="dxa"/>
        <w:top w:w="0" w:type="dxa"/>
        <w:right w:w="0" w:type="dxa"/>
        <w:bottom w:w="0" w:type="dxa"/>
      </w:tblCellMar>
    </w:tblPr>
  </w:style>
  <w:style w:type="table" w:customStyle="1" w:styleId="1494">
    <w:name w:val="List Table 1 Light - Accent 1"/>
    <w:uiPriority w:val="99"/>
    <w:rPr>
      <w:lang w:bidi="ru-RU"/>
      <w:sz w:val="24"/>
      <w:szCs w:val="24"/>
    </w:rPr>
    <w:tblPr>
      <w:tblCellMar>
        <w:left w:w="0" w:type="dxa"/>
        <w:top w:w="0" w:type="dxa"/>
        <w:right w:w="0" w:type="dxa"/>
        <w:bottom w:w="0" w:type="dxa"/>
      </w:tblCellMar>
    </w:tblPr>
  </w:style>
  <w:style w:type="table" w:customStyle="1" w:styleId="1495">
    <w:name w:val="List Table 1 Light - Accent 2"/>
    <w:uiPriority w:val="99"/>
    <w:rPr>
      <w:lang w:bidi="ru-RU"/>
      <w:sz w:val="24"/>
      <w:szCs w:val="24"/>
    </w:rPr>
    <w:tblPr>
      <w:tblCellMar>
        <w:left w:w="0" w:type="dxa"/>
        <w:top w:w="0" w:type="dxa"/>
        <w:right w:w="0" w:type="dxa"/>
        <w:bottom w:w="0" w:type="dxa"/>
      </w:tblCellMar>
    </w:tblPr>
  </w:style>
  <w:style w:type="table" w:customStyle="1" w:styleId="1496">
    <w:name w:val="List Table 1 Light - Accent 3"/>
    <w:uiPriority w:val="99"/>
    <w:rPr>
      <w:lang w:bidi="ru-RU"/>
      <w:sz w:val="24"/>
      <w:szCs w:val="24"/>
    </w:rPr>
    <w:tblPr>
      <w:tblCellMar>
        <w:left w:w="0" w:type="dxa"/>
        <w:top w:w="0" w:type="dxa"/>
        <w:right w:w="0" w:type="dxa"/>
        <w:bottom w:w="0" w:type="dxa"/>
      </w:tblCellMar>
    </w:tblPr>
  </w:style>
  <w:style w:type="table" w:customStyle="1" w:styleId="1497">
    <w:name w:val="List Table 1 Light - Accent 4"/>
    <w:uiPriority w:val="99"/>
    <w:rPr>
      <w:lang w:bidi="ru-RU"/>
      <w:sz w:val="24"/>
      <w:szCs w:val="24"/>
    </w:rPr>
    <w:tblPr>
      <w:tblCellMar>
        <w:left w:w="0" w:type="dxa"/>
        <w:top w:w="0" w:type="dxa"/>
        <w:right w:w="0" w:type="dxa"/>
        <w:bottom w:w="0" w:type="dxa"/>
      </w:tblCellMar>
    </w:tblPr>
  </w:style>
  <w:style w:type="table" w:customStyle="1" w:styleId="1498">
    <w:name w:val="List Table 1 Light - Accent 5"/>
    <w:uiPriority w:val="99"/>
    <w:rPr>
      <w:lang w:bidi="ru-RU"/>
      <w:sz w:val="24"/>
      <w:szCs w:val="24"/>
    </w:rPr>
    <w:tblPr>
      <w:tblCellMar>
        <w:left w:w="0" w:type="dxa"/>
        <w:top w:w="0" w:type="dxa"/>
        <w:right w:w="0" w:type="dxa"/>
        <w:bottom w:w="0" w:type="dxa"/>
      </w:tblCellMar>
    </w:tblPr>
  </w:style>
  <w:style w:type="table" w:customStyle="1" w:styleId="1499">
    <w:name w:val="List Table 1 Light - Accent 6"/>
    <w:uiPriority w:val="99"/>
    <w:rPr>
      <w:lang w:bidi="ru-RU"/>
      <w:sz w:val="24"/>
      <w:szCs w:val="24"/>
    </w:rPr>
    <w:tblPr>
      <w:tblCellMar>
        <w:left w:w="0" w:type="dxa"/>
        <w:top w:w="0" w:type="dxa"/>
        <w:right w:w="0" w:type="dxa"/>
        <w:bottom w:w="0" w:type="dxa"/>
      </w:tblCellMar>
    </w:tblPr>
  </w:style>
  <w:style w:type="table" w:customStyle="1" w:styleId="1500">
    <w:name w:val="List Table 2 - Accent 1"/>
    <w:uiPriority w:val="99"/>
    <w:rPr>
      <w:lang w:bidi="ru-RU"/>
      <w:sz w:val="24"/>
      <w:szCs w:val="24"/>
    </w:rPr>
    <w:tblPr>
      <w:tblCellMar>
        <w:left w:w="0" w:type="dxa"/>
        <w:top w:w="0" w:type="dxa"/>
        <w:right w:w="0" w:type="dxa"/>
        <w:bottom w:w="0" w:type="dxa"/>
      </w:tblCellMar>
    </w:tblPr>
  </w:style>
  <w:style w:type="table" w:customStyle="1" w:styleId="1501">
    <w:name w:val="List Table 2 - Accent 2"/>
    <w:uiPriority w:val="99"/>
    <w:rPr>
      <w:lang w:bidi="ru-RU"/>
      <w:sz w:val="24"/>
      <w:szCs w:val="24"/>
    </w:rPr>
    <w:tblPr>
      <w:tblCellMar>
        <w:left w:w="0" w:type="dxa"/>
        <w:top w:w="0" w:type="dxa"/>
        <w:right w:w="0" w:type="dxa"/>
        <w:bottom w:w="0" w:type="dxa"/>
      </w:tblCellMar>
    </w:tblPr>
  </w:style>
  <w:style w:type="table" w:customStyle="1" w:styleId="1502">
    <w:name w:val="List Table 2 - Accent 3"/>
    <w:uiPriority w:val="99"/>
    <w:rPr>
      <w:lang w:bidi="ru-RU"/>
      <w:sz w:val="24"/>
      <w:szCs w:val="24"/>
    </w:rPr>
    <w:tblPr>
      <w:tblCellMar>
        <w:left w:w="0" w:type="dxa"/>
        <w:top w:w="0" w:type="dxa"/>
        <w:right w:w="0" w:type="dxa"/>
        <w:bottom w:w="0" w:type="dxa"/>
      </w:tblCellMar>
    </w:tblPr>
  </w:style>
  <w:style w:type="table" w:customStyle="1" w:styleId="1503">
    <w:name w:val="List Table 2 - Accent 4"/>
    <w:uiPriority w:val="99"/>
    <w:rPr>
      <w:lang w:bidi="ru-RU"/>
      <w:sz w:val="24"/>
      <w:szCs w:val="24"/>
    </w:rPr>
    <w:tblPr>
      <w:tblCellMar>
        <w:left w:w="0" w:type="dxa"/>
        <w:top w:w="0" w:type="dxa"/>
        <w:right w:w="0" w:type="dxa"/>
        <w:bottom w:w="0" w:type="dxa"/>
      </w:tblCellMar>
    </w:tblPr>
  </w:style>
  <w:style w:type="table" w:customStyle="1" w:styleId="1504">
    <w:name w:val="List Table 2 - Accent 5"/>
    <w:uiPriority w:val="99"/>
    <w:rPr>
      <w:lang w:bidi="ru-RU"/>
      <w:sz w:val="24"/>
      <w:szCs w:val="24"/>
    </w:rPr>
    <w:tblPr>
      <w:tblCellMar>
        <w:left w:w="0" w:type="dxa"/>
        <w:top w:w="0" w:type="dxa"/>
        <w:right w:w="0" w:type="dxa"/>
        <w:bottom w:w="0" w:type="dxa"/>
      </w:tblCellMar>
    </w:tblPr>
  </w:style>
  <w:style w:type="table" w:customStyle="1" w:styleId="1505">
    <w:name w:val="List Table 2 - Accent 6"/>
    <w:uiPriority w:val="99"/>
    <w:rPr>
      <w:lang w:bidi="ru-RU"/>
      <w:sz w:val="24"/>
      <w:szCs w:val="24"/>
    </w:rPr>
    <w:tblPr>
      <w:tblCellMar>
        <w:left w:w="0" w:type="dxa"/>
        <w:top w:w="0" w:type="dxa"/>
        <w:right w:w="0" w:type="dxa"/>
        <w:bottom w:w="0" w:type="dxa"/>
      </w:tblCellMar>
    </w:tblPr>
  </w:style>
  <w:style w:type="table" w:customStyle="1" w:styleId="1506">
    <w:name w:val="List Table 3 - Accent 1"/>
    <w:uiPriority w:val="99"/>
    <w:rPr>
      <w:lang w:bidi="ru-RU"/>
      <w:sz w:val="24"/>
      <w:szCs w:val="24"/>
    </w:rPr>
    <w:tblPr>
      <w:tblCellMar>
        <w:left w:w="0" w:type="dxa"/>
        <w:top w:w="0" w:type="dxa"/>
        <w:right w:w="0" w:type="dxa"/>
        <w:bottom w:w="0" w:type="dxa"/>
      </w:tblCellMar>
    </w:tblPr>
  </w:style>
  <w:style w:type="table" w:customStyle="1" w:styleId="1507">
    <w:name w:val="List Table 3 - Accent 2"/>
    <w:uiPriority w:val="99"/>
    <w:rPr>
      <w:lang w:bidi="ru-RU"/>
      <w:sz w:val="24"/>
      <w:szCs w:val="24"/>
    </w:rPr>
    <w:tblPr>
      <w:tblCellMar>
        <w:left w:w="0" w:type="dxa"/>
        <w:top w:w="0" w:type="dxa"/>
        <w:right w:w="0" w:type="dxa"/>
        <w:bottom w:w="0" w:type="dxa"/>
      </w:tblCellMar>
    </w:tblPr>
  </w:style>
  <w:style w:type="table" w:customStyle="1" w:styleId="1508">
    <w:name w:val="List Table 3 - Accent 3"/>
    <w:uiPriority w:val="99"/>
    <w:rPr>
      <w:lang w:bidi="ru-RU"/>
      <w:sz w:val="24"/>
      <w:szCs w:val="24"/>
    </w:rPr>
    <w:tblPr>
      <w:tblCellMar>
        <w:left w:w="0" w:type="dxa"/>
        <w:top w:w="0" w:type="dxa"/>
        <w:right w:w="0" w:type="dxa"/>
        <w:bottom w:w="0" w:type="dxa"/>
      </w:tblCellMar>
    </w:tblPr>
  </w:style>
  <w:style w:type="table" w:customStyle="1" w:styleId="1509">
    <w:name w:val="List Table 3 - Accent 4"/>
    <w:uiPriority w:val="99"/>
    <w:rPr>
      <w:lang w:bidi="ru-RU"/>
      <w:sz w:val="24"/>
      <w:szCs w:val="24"/>
    </w:rPr>
    <w:tblPr>
      <w:tblCellMar>
        <w:left w:w="0" w:type="dxa"/>
        <w:top w:w="0" w:type="dxa"/>
        <w:right w:w="0" w:type="dxa"/>
        <w:bottom w:w="0" w:type="dxa"/>
      </w:tblCellMar>
    </w:tblPr>
  </w:style>
  <w:style w:type="table" w:customStyle="1" w:styleId="1510">
    <w:name w:val="List Table 3 - Accent 5"/>
    <w:uiPriority w:val="99"/>
    <w:rPr>
      <w:lang w:bidi="ru-RU"/>
      <w:sz w:val="24"/>
      <w:szCs w:val="24"/>
    </w:rPr>
    <w:tblPr>
      <w:tblCellMar>
        <w:left w:w="0" w:type="dxa"/>
        <w:top w:w="0" w:type="dxa"/>
        <w:right w:w="0" w:type="dxa"/>
        <w:bottom w:w="0" w:type="dxa"/>
      </w:tblCellMar>
    </w:tblPr>
  </w:style>
  <w:style w:type="table" w:customStyle="1" w:styleId="1511">
    <w:name w:val="List Table 3 - Accent 6"/>
    <w:uiPriority w:val="99"/>
    <w:rPr>
      <w:lang w:bidi="ru-RU"/>
      <w:sz w:val="24"/>
      <w:szCs w:val="24"/>
    </w:rPr>
    <w:tblPr>
      <w:tblCellMar>
        <w:left w:w="0" w:type="dxa"/>
        <w:top w:w="0" w:type="dxa"/>
        <w:right w:w="0" w:type="dxa"/>
        <w:bottom w:w="0" w:type="dxa"/>
      </w:tblCellMar>
    </w:tblPr>
  </w:style>
  <w:style w:type="table" w:customStyle="1" w:styleId="1512">
    <w:name w:val="List Table 4 - Accent 1"/>
    <w:uiPriority w:val="99"/>
    <w:rPr>
      <w:lang w:bidi="ru-RU"/>
      <w:sz w:val="24"/>
      <w:szCs w:val="24"/>
    </w:rPr>
    <w:tblPr>
      <w:tblCellMar>
        <w:left w:w="0" w:type="dxa"/>
        <w:top w:w="0" w:type="dxa"/>
        <w:right w:w="0" w:type="dxa"/>
        <w:bottom w:w="0" w:type="dxa"/>
      </w:tblCellMar>
    </w:tblPr>
  </w:style>
  <w:style w:type="table" w:customStyle="1" w:styleId="1513">
    <w:name w:val="List Table 4 - Accent 2"/>
    <w:uiPriority w:val="99"/>
    <w:rPr>
      <w:lang w:bidi="ru-RU"/>
      <w:sz w:val="24"/>
      <w:szCs w:val="24"/>
    </w:rPr>
    <w:tblPr>
      <w:tblCellMar>
        <w:left w:w="0" w:type="dxa"/>
        <w:top w:w="0" w:type="dxa"/>
        <w:right w:w="0" w:type="dxa"/>
        <w:bottom w:w="0" w:type="dxa"/>
      </w:tblCellMar>
    </w:tblPr>
  </w:style>
  <w:style w:type="table" w:customStyle="1" w:styleId="1514">
    <w:name w:val="List Table 4 - Accent 3"/>
    <w:uiPriority w:val="99"/>
    <w:rPr>
      <w:lang w:bidi="ru-RU"/>
      <w:sz w:val="24"/>
      <w:szCs w:val="24"/>
    </w:rPr>
    <w:tblPr>
      <w:tblCellMar>
        <w:left w:w="0" w:type="dxa"/>
        <w:top w:w="0" w:type="dxa"/>
        <w:right w:w="0" w:type="dxa"/>
        <w:bottom w:w="0" w:type="dxa"/>
      </w:tblCellMar>
    </w:tblPr>
  </w:style>
  <w:style w:type="table" w:customStyle="1" w:styleId="1515">
    <w:name w:val="List Table 4 - Accent 4"/>
    <w:uiPriority w:val="99"/>
    <w:rPr>
      <w:lang w:bidi="ru-RU"/>
      <w:sz w:val="24"/>
      <w:szCs w:val="24"/>
    </w:rPr>
    <w:tblPr>
      <w:tblCellMar>
        <w:left w:w="0" w:type="dxa"/>
        <w:top w:w="0" w:type="dxa"/>
        <w:right w:w="0" w:type="dxa"/>
        <w:bottom w:w="0" w:type="dxa"/>
      </w:tblCellMar>
    </w:tblPr>
  </w:style>
  <w:style w:type="table" w:customStyle="1" w:styleId="1516">
    <w:name w:val="List Table 4 - Accent 5"/>
    <w:uiPriority w:val="99"/>
    <w:rPr>
      <w:lang w:bidi="ru-RU"/>
      <w:sz w:val="24"/>
      <w:szCs w:val="24"/>
    </w:rPr>
    <w:tblPr>
      <w:tblCellMar>
        <w:left w:w="0" w:type="dxa"/>
        <w:top w:w="0" w:type="dxa"/>
        <w:right w:w="0" w:type="dxa"/>
        <w:bottom w:w="0" w:type="dxa"/>
      </w:tblCellMar>
    </w:tblPr>
  </w:style>
  <w:style w:type="table" w:customStyle="1" w:styleId="1517">
    <w:name w:val="List Table 4 - Accent 6"/>
    <w:uiPriority w:val="99"/>
    <w:rPr>
      <w:lang w:bidi="ru-RU"/>
      <w:sz w:val="24"/>
      <w:szCs w:val="24"/>
    </w:rPr>
    <w:tblPr>
      <w:tblCellMar>
        <w:left w:w="0" w:type="dxa"/>
        <w:top w:w="0" w:type="dxa"/>
        <w:right w:w="0" w:type="dxa"/>
        <w:bottom w:w="0" w:type="dxa"/>
      </w:tblCellMar>
    </w:tblPr>
  </w:style>
  <w:style w:type="table" w:customStyle="1" w:styleId="1518">
    <w:name w:val="List Table 5 Dark - Accent 1"/>
    <w:uiPriority w:val="99"/>
    <w:rPr>
      <w:lang w:bidi="ru-RU"/>
      <w:sz w:val="24"/>
      <w:szCs w:val="24"/>
    </w:rPr>
    <w:tblPr>
      <w:tblCellMar>
        <w:left w:w="0" w:type="dxa"/>
        <w:top w:w="0" w:type="dxa"/>
        <w:right w:w="0" w:type="dxa"/>
        <w:bottom w:w="0" w:type="dxa"/>
      </w:tblCellMar>
    </w:tblPr>
  </w:style>
  <w:style w:type="table" w:customStyle="1" w:styleId="1519">
    <w:name w:val="List Table 5 Dark - Accent 2"/>
    <w:uiPriority w:val="99"/>
    <w:rPr>
      <w:lang w:bidi="ru-RU"/>
      <w:sz w:val="24"/>
      <w:szCs w:val="24"/>
    </w:rPr>
    <w:tblPr>
      <w:tblCellMar>
        <w:left w:w="0" w:type="dxa"/>
        <w:top w:w="0" w:type="dxa"/>
        <w:right w:w="0" w:type="dxa"/>
        <w:bottom w:w="0" w:type="dxa"/>
      </w:tblCellMar>
    </w:tblPr>
  </w:style>
  <w:style w:type="table" w:customStyle="1" w:styleId="1520">
    <w:name w:val="List Table 5 Dark - Accent 3"/>
    <w:uiPriority w:val="99"/>
    <w:rPr>
      <w:lang w:bidi="ru-RU"/>
      <w:sz w:val="24"/>
      <w:szCs w:val="24"/>
    </w:rPr>
    <w:tblPr>
      <w:tblCellMar>
        <w:left w:w="0" w:type="dxa"/>
        <w:top w:w="0" w:type="dxa"/>
        <w:right w:w="0" w:type="dxa"/>
        <w:bottom w:w="0" w:type="dxa"/>
      </w:tblCellMar>
    </w:tblPr>
  </w:style>
  <w:style w:type="table" w:customStyle="1" w:styleId="1521">
    <w:name w:val="List Table 5 Dark - Accent 4"/>
    <w:uiPriority w:val="99"/>
    <w:rPr>
      <w:lang w:bidi="ru-RU"/>
      <w:sz w:val="24"/>
      <w:szCs w:val="24"/>
    </w:rPr>
    <w:tblPr>
      <w:tblCellMar>
        <w:left w:w="0" w:type="dxa"/>
        <w:top w:w="0" w:type="dxa"/>
        <w:right w:w="0" w:type="dxa"/>
        <w:bottom w:w="0" w:type="dxa"/>
      </w:tblCellMar>
    </w:tblPr>
  </w:style>
  <w:style w:type="table" w:customStyle="1" w:styleId="1522">
    <w:name w:val="List Table 5 Dark - Accent 5"/>
    <w:uiPriority w:val="99"/>
    <w:rPr>
      <w:lang w:bidi="ru-RU"/>
      <w:sz w:val="24"/>
      <w:szCs w:val="24"/>
    </w:rPr>
    <w:tblPr>
      <w:tblCellMar>
        <w:left w:w="0" w:type="dxa"/>
        <w:top w:w="0" w:type="dxa"/>
        <w:right w:w="0" w:type="dxa"/>
        <w:bottom w:w="0" w:type="dxa"/>
      </w:tblCellMar>
    </w:tblPr>
  </w:style>
  <w:style w:type="table" w:customStyle="1" w:styleId="1523">
    <w:name w:val="List Table 5 Dark - Accent 6"/>
    <w:uiPriority w:val="99"/>
    <w:rPr>
      <w:lang w:bidi="ru-RU"/>
      <w:sz w:val="24"/>
      <w:szCs w:val="24"/>
    </w:rPr>
    <w:tblPr>
      <w:tblCellMar>
        <w:left w:w="0" w:type="dxa"/>
        <w:top w:w="0" w:type="dxa"/>
        <w:right w:w="0" w:type="dxa"/>
        <w:bottom w:w="0" w:type="dxa"/>
      </w:tblCellMar>
    </w:tblPr>
  </w:style>
  <w:style w:type="table" w:customStyle="1" w:styleId="1524">
    <w:name w:val="List Table 6 Colorful - Accent 1"/>
    <w:uiPriority w:val="99"/>
    <w:rPr>
      <w:lang w:bidi="ru-RU"/>
      <w:sz w:val="24"/>
      <w:szCs w:val="24"/>
    </w:rPr>
    <w:tblPr>
      <w:tblCellMar>
        <w:left w:w="0" w:type="dxa"/>
        <w:top w:w="0" w:type="dxa"/>
        <w:right w:w="0" w:type="dxa"/>
        <w:bottom w:w="0" w:type="dxa"/>
      </w:tblCellMar>
    </w:tblPr>
  </w:style>
  <w:style w:type="table" w:customStyle="1" w:styleId="1525">
    <w:name w:val="List Table 6 Colorful - Accent 2"/>
    <w:uiPriority w:val="99"/>
    <w:rPr>
      <w:lang w:bidi="ru-RU"/>
      <w:sz w:val="24"/>
      <w:szCs w:val="24"/>
    </w:rPr>
    <w:tblPr>
      <w:tblCellMar>
        <w:left w:w="0" w:type="dxa"/>
        <w:top w:w="0" w:type="dxa"/>
        <w:right w:w="0" w:type="dxa"/>
        <w:bottom w:w="0" w:type="dxa"/>
      </w:tblCellMar>
    </w:tblPr>
  </w:style>
  <w:style w:type="table" w:customStyle="1" w:styleId="1526">
    <w:name w:val="List Table 6 Colorful - Accent 3"/>
    <w:uiPriority w:val="99"/>
    <w:rPr>
      <w:lang w:bidi="ru-RU"/>
      <w:sz w:val="24"/>
      <w:szCs w:val="24"/>
    </w:rPr>
    <w:tblPr>
      <w:tblCellMar>
        <w:left w:w="0" w:type="dxa"/>
        <w:top w:w="0" w:type="dxa"/>
        <w:right w:w="0" w:type="dxa"/>
        <w:bottom w:w="0" w:type="dxa"/>
      </w:tblCellMar>
    </w:tblPr>
  </w:style>
  <w:style w:type="table" w:customStyle="1" w:styleId="1527">
    <w:name w:val="List Table 6 Colorful - Accent 4"/>
    <w:uiPriority w:val="99"/>
    <w:rPr>
      <w:lang w:bidi="ru-RU"/>
      <w:sz w:val="24"/>
      <w:szCs w:val="24"/>
    </w:rPr>
    <w:tblPr>
      <w:tblCellMar>
        <w:left w:w="0" w:type="dxa"/>
        <w:top w:w="0" w:type="dxa"/>
        <w:right w:w="0" w:type="dxa"/>
        <w:bottom w:w="0" w:type="dxa"/>
      </w:tblCellMar>
    </w:tblPr>
  </w:style>
  <w:style w:type="table" w:customStyle="1" w:styleId="1528">
    <w:name w:val="List Table 6 Colorful - Accent 5"/>
    <w:uiPriority w:val="99"/>
    <w:rPr>
      <w:lang w:bidi="ru-RU"/>
      <w:sz w:val="24"/>
      <w:szCs w:val="24"/>
    </w:rPr>
    <w:tblPr>
      <w:tblCellMar>
        <w:left w:w="0" w:type="dxa"/>
        <w:top w:w="0" w:type="dxa"/>
        <w:right w:w="0" w:type="dxa"/>
        <w:bottom w:w="0" w:type="dxa"/>
      </w:tblCellMar>
    </w:tblPr>
  </w:style>
  <w:style w:type="table" w:customStyle="1" w:styleId="1529">
    <w:name w:val="List Table 6 Colorful - Accent 6"/>
    <w:uiPriority w:val="99"/>
    <w:rPr>
      <w:lang w:bidi="ru-RU"/>
      <w:sz w:val="24"/>
      <w:szCs w:val="24"/>
    </w:rPr>
    <w:tblPr>
      <w:tblCellMar>
        <w:left w:w="0" w:type="dxa"/>
        <w:top w:w="0" w:type="dxa"/>
        <w:right w:w="0" w:type="dxa"/>
        <w:bottom w:w="0" w:type="dxa"/>
      </w:tblCellMar>
    </w:tblPr>
  </w:style>
  <w:style w:type="table" w:customStyle="1" w:styleId="1530">
    <w:name w:val="List Table 7 Colorful - Accent 1"/>
    <w:uiPriority w:val="99"/>
    <w:rPr>
      <w:lang w:bidi="ru-RU"/>
      <w:sz w:val="24"/>
      <w:szCs w:val="24"/>
    </w:rPr>
    <w:tblPr>
      <w:tblCellMar>
        <w:left w:w="0" w:type="dxa"/>
        <w:top w:w="0" w:type="dxa"/>
        <w:right w:w="0" w:type="dxa"/>
        <w:bottom w:w="0" w:type="dxa"/>
      </w:tblCellMar>
    </w:tblPr>
  </w:style>
  <w:style w:type="table" w:customStyle="1" w:styleId="1531">
    <w:name w:val="List Table 7 Colorful - Accent 2"/>
    <w:uiPriority w:val="99"/>
    <w:rPr>
      <w:lang w:bidi="ru-RU"/>
      <w:sz w:val="24"/>
      <w:szCs w:val="24"/>
    </w:rPr>
    <w:tblPr>
      <w:tblCellMar>
        <w:left w:w="0" w:type="dxa"/>
        <w:top w:w="0" w:type="dxa"/>
        <w:right w:w="0" w:type="dxa"/>
        <w:bottom w:w="0" w:type="dxa"/>
      </w:tblCellMar>
    </w:tblPr>
  </w:style>
  <w:style w:type="table" w:customStyle="1" w:styleId="1532">
    <w:name w:val="List Table 7 Colorful - Accent 3"/>
    <w:uiPriority w:val="99"/>
    <w:rPr>
      <w:lang w:bidi="ru-RU"/>
      <w:sz w:val="24"/>
      <w:szCs w:val="24"/>
    </w:rPr>
    <w:tblPr>
      <w:tblCellMar>
        <w:left w:w="0" w:type="dxa"/>
        <w:top w:w="0" w:type="dxa"/>
        <w:right w:w="0" w:type="dxa"/>
        <w:bottom w:w="0" w:type="dxa"/>
      </w:tblCellMar>
    </w:tblPr>
  </w:style>
  <w:style w:type="table" w:customStyle="1" w:styleId="1533">
    <w:name w:val="List Table 7 Colorful - Accent 4"/>
    <w:uiPriority w:val="99"/>
    <w:rPr>
      <w:lang w:bidi="ru-RU"/>
      <w:sz w:val="24"/>
      <w:szCs w:val="24"/>
    </w:rPr>
    <w:tblPr>
      <w:tblCellMar>
        <w:left w:w="0" w:type="dxa"/>
        <w:top w:w="0" w:type="dxa"/>
        <w:right w:w="0" w:type="dxa"/>
        <w:bottom w:w="0" w:type="dxa"/>
      </w:tblCellMar>
    </w:tblPr>
  </w:style>
  <w:style w:type="table" w:customStyle="1" w:styleId="1534">
    <w:name w:val="List Table 7 Colorful - Accent 5"/>
    <w:uiPriority w:val="99"/>
    <w:rPr>
      <w:lang w:bidi="ru-RU"/>
      <w:sz w:val="24"/>
      <w:szCs w:val="24"/>
    </w:rPr>
    <w:tblPr>
      <w:tblCellMar>
        <w:left w:w="0" w:type="dxa"/>
        <w:top w:w="0" w:type="dxa"/>
        <w:right w:w="0" w:type="dxa"/>
        <w:bottom w:w="0" w:type="dxa"/>
      </w:tblCellMar>
    </w:tblPr>
  </w:style>
  <w:style w:type="table" w:customStyle="1" w:styleId="1535">
    <w:name w:val="List Table 7 Colorful - Accent 6"/>
    <w:uiPriority w:val="99"/>
    <w:rPr>
      <w:lang w:bidi="ru-RU"/>
      <w:sz w:val="24"/>
      <w:szCs w:val="24"/>
    </w:rPr>
    <w:tblPr>
      <w:tblCellMar>
        <w:left w:w="0" w:type="dxa"/>
        <w:top w:w="0" w:type="dxa"/>
        <w:right w:w="0" w:type="dxa"/>
        <w:bottom w:w="0" w:type="dxa"/>
      </w:tblCellMar>
    </w:tblPr>
  </w:style>
  <w:style w:type="table" w:customStyle="1" w:styleId="1536">
    <w:name w:val="Lined - Accent"/>
    <w:uiPriority w:val="99"/>
    <w:tblPr>
      <w:tblCellMar>
        <w:left w:w="0" w:type="dxa"/>
        <w:top w:w="0" w:type="dxa"/>
        <w:right w:w="0" w:type="dxa"/>
        <w:bottom w:w="0" w:type="dxa"/>
      </w:tblCellMar>
    </w:tblPr>
  </w:style>
  <w:style w:type="table" w:customStyle="1" w:styleId="1537">
    <w:name w:val="Lined - Accent 1"/>
    <w:uiPriority w:val="99"/>
    <w:tblPr>
      <w:tblCellMar>
        <w:left w:w="0" w:type="dxa"/>
        <w:top w:w="0" w:type="dxa"/>
        <w:right w:w="0" w:type="dxa"/>
        <w:bottom w:w="0" w:type="dxa"/>
      </w:tblCellMar>
    </w:tblPr>
  </w:style>
  <w:style w:type="table" w:customStyle="1" w:styleId="1538">
    <w:name w:val="Lined - Accent 2"/>
    <w:uiPriority w:val="99"/>
    <w:tblPr>
      <w:tblCellMar>
        <w:left w:w="0" w:type="dxa"/>
        <w:top w:w="0" w:type="dxa"/>
        <w:right w:w="0" w:type="dxa"/>
        <w:bottom w:w="0" w:type="dxa"/>
      </w:tblCellMar>
    </w:tblPr>
  </w:style>
  <w:style w:type="table" w:customStyle="1" w:styleId="1539">
    <w:name w:val="Lined - Accent 3"/>
    <w:uiPriority w:val="99"/>
    <w:tblPr>
      <w:tblCellMar>
        <w:left w:w="0" w:type="dxa"/>
        <w:top w:w="0" w:type="dxa"/>
        <w:right w:w="0" w:type="dxa"/>
        <w:bottom w:w="0" w:type="dxa"/>
      </w:tblCellMar>
    </w:tblPr>
  </w:style>
  <w:style w:type="table" w:customStyle="1" w:styleId="1540">
    <w:name w:val="Lined - Accent 4"/>
    <w:uiPriority w:val="99"/>
    <w:tblPr>
      <w:tblCellMar>
        <w:left w:w="0" w:type="dxa"/>
        <w:top w:w="0" w:type="dxa"/>
        <w:right w:w="0" w:type="dxa"/>
        <w:bottom w:w="0" w:type="dxa"/>
      </w:tblCellMar>
    </w:tblPr>
  </w:style>
  <w:style w:type="table" w:customStyle="1" w:styleId="1541">
    <w:name w:val="Lined - Accent 5"/>
    <w:uiPriority w:val="99"/>
    <w:tblPr>
      <w:tblCellMar>
        <w:left w:w="0" w:type="dxa"/>
        <w:top w:w="0" w:type="dxa"/>
        <w:right w:w="0" w:type="dxa"/>
        <w:bottom w:w="0" w:type="dxa"/>
      </w:tblCellMar>
    </w:tblPr>
  </w:style>
  <w:style w:type="table" w:customStyle="1" w:styleId="1542">
    <w:name w:val="Lined - Accent 6"/>
    <w:uiPriority w:val="99"/>
    <w:tblPr>
      <w:tblCellMar>
        <w:left w:w="0" w:type="dxa"/>
        <w:top w:w="0" w:type="dxa"/>
        <w:right w:w="0" w:type="dxa"/>
        <w:bottom w:w="0" w:type="dxa"/>
      </w:tblCellMar>
    </w:tblPr>
  </w:style>
  <w:style w:type="table" w:customStyle="1" w:styleId="1543">
    <w:name w:val="Bordered &amp; Lined - Accent"/>
    <w:uiPriority w:val="99"/>
    <w:tblPr>
      <w:tblCellMar>
        <w:left w:w="0" w:type="dxa"/>
        <w:top w:w="0" w:type="dxa"/>
        <w:right w:w="0" w:type="dxa"/>
        <w:bottom w:w="0" w:type="dxa"/>
      </w:tblCellMar>
    </w:tblPr>
  </w:style>
  <w:style w:type="table" w:customStyle="1" w:styleId="1544">
    <w:name w:val="Bordered &amp; Lined - Accent 1"/>
    <w:uiPriority w:val="99"/>
    <w:tblPr>
      <w:tblCellMar>
        <w:left w:w="0" w:type="dxa"/>
        <w:top w:w="0" w:type="dxa"/>
        <w:right w:w="0" w:type="dxa"/>
        <w:bottom w:w="0" w:type="dxa"/>
      </w:tblCellMar>
    </w:tblPr>
  </w:style>
  <w:style w:type="table" w:customStyle="1" w:styleId="1545">
    <w:name w:val="Bordered &amp; Lined - Accent 2"/>
    <w:uiPriority w:val="99"/>
    <w:tblPr>
      <w:tblCellMar>
        <w:left w:w="0" w:type="dxa"/>
        <w:top w:w="0" w:type="dxa"/>
        <w:right w:w="0" w:type="dxa"/>
        <w:bottom w:w="0" w:type="dxa"/>
      </w:tblCellMar>
    </w:tblPr>
  </w:style>
  <w:style w:type="table" w:customStyle="1" w:styleId="1546">
    <w:name w:val="Bordered &amp; Lined - Accent 3"/>
    <w:uiPriority w:val="99"/>
    <w:tblPr>
      <w:tblCellMar>
        <w:left w:w="0" w:type="dxa"/>
        <w:top w:w="0" w:type="dxa"/>
        <w:right w:w="0" w:type="dxa"/>
        <w:bottom w:w="0" w:type="dxa"/>
      </w:tblCellMar>
    </w:tblPr>
  </w:style>
  <w:style w:type="table" w:customStyle="1" w:styleId="1547">
    <w:name w:val="Bordered &amp; Lined - Accent 4"/>
    <w:uiPriority w:val="99"/>
    <w:tblPr>
      <w:tblCellMar>
        <w:left w:w="0" w:type="dxa"/>
        <w:top w:w="0" w:type="dxa"/>
        <w:right w:w="0" w:type="dxa"/>
        <w:bottom w:w="0" w:type="dxa"/>
      </w:tblCellMar>
    </w:tblPr>
  </w:style>
  <w:style w:type="table" w:customStyle="1" w:styleId="1548">
    <w:name w:val="Bordered &amp; Lined - Accent 5"/>
    <w:uiPriority w:val="99"/>
    <w:tblPr>
      <w:tblCellMar>
        <w:left w:w="0" w:type="dxa"/>
        <w:top w:w="0" w:type="dxa"/>
        <w:right w:w="0" w:type="dxa"/>
        <w:bottom w:w="0" w:type="dxa"/>
      </w:tblCellMar>
    </w:tblPr>
  </w:style>
  <w:style w:type="table" w:customStyle="1" w:styleId="1549">
    <w:name w:val="Bordered &amp; Lined - Accent 6"/>
    <w:uiPriority w:val="99"/>
    <w:tblPr>
      <w:tblCellMar>
        <w:left w:w="0" w:type="dxa"/>
        <w:top w:w="0" w:type="dxa"/>
        <w:right w:w="0" w:type="dxa"/>
        <w:bottom w:w="0" w:type="dxa"/>
      </w:tblCellMar>
    </w:tblPr>
  </w:style>
  <w:style w:type="table" w:customStyle="1" w:styleId="1550">
    <w:name w:val="Bordered"/>
    <w:uiPriority w:val="99"/>
    <w:rPr>
      <w:lang w:bidi="ru-RU"/>
      <w:sz w:val="24"/>
      <w:szCs w:val="24"/>
    </w:rPr>
    <w:tblPr>
      <w:tblCellMar>
        <w:left w:w="0" w:type="dxa"/>
        <w:top w:w="0" w:type="dxa"/>
        <w:right w:w="0" w:type="dxa"/>
        <w:bottom w:w="0" w:type="dxa"/>
      </w:tblCellMar>
    </w:tblPr>
  </w:style>
  <w:style w:type="table" w:customStyle="1" w:styleId="1551">
    <w:name w:val="Bordered - Accent 1"/>
    <w:uiPriority w:val="99"/>
    <w:rPr>
      <w:lang w:bidi="ru-RU"/>
      <w:sz w:val="24"/>
      <w:szCs w:val="24"/>
    </w:rPr>
    <w:tblPr>
      <w:tblCellMar>
        <w:left w:w="0" w:type="dxa"/>
        <w:top w:w="0" w:type="dxa"/>
        <w:right w:w="0" w:type="dxa"/>
        <w:bottom w:w="0" w:type="dxa"/>
      </w:tblCellMar>
    </w:tblPr>
  </w:style>
  <w:style w:type="table" w:customStyle="1" w:styleId="1552">
    <w:name w:val="Bordered - Accent 2"/>
    <w:uiPriority w:val="99"/>
    <w:rPr>
      <w:lang w:bidi="ru-RU"/>
      <w:sz w:val="24"/>
      <w:szCs w:val="24"/>
    </w:rPr>
    <w:tblPr>
      <w:tblCellMar>
        <w:left w:w="0" w:type="dxa"/>
        <w:top w:w="0" w:type="dxa"/>
        <w:right w:w="0" w:type="dxa"/>
        <w:bottom w:w="0" w:type="dxa"/>
      </w:tblCellMar>
    </w:tblPr>
  </w:style>
  <w:style w:type="table" w:customStyle="1" w:styleId="1553">
    <w:name w:val="Bordered - Accent 3"/>
    <w:uiPriority w:val="99"/>
    <w:rPr>
      <w:lang w:bidi="ru-RU"/>
      <w:sz w:val="24"/>
      <w:szCs w:val="24"/>
    </w:rPr>
    <w:tblPr>
      <w:tblCellMar>
        <w:left w:w="0" w:type="dxa"/>
        <w:top w:w="0" w:type="dxa"/>
        <w:right w:w="0" w:type="dxa"/>
        <w:bottom w:w="0" w:type="dxa"/>
      </w:tblCellMar>
    </w:tblPr>
  </w:style>
  <w:style w:type="table" w:customStyle="1" w:styleId="1554">
    <w:name w:val="Bordered - Accent 4"/>
    <w:uiPriority w:val="99"/>
    <w:rPr>
      <w:lang w:bidi="ru-RU"/>
      <w:sz w:val="24"/>
      <w:szCs w:val="24"/>
    </w:rPr>
    <w:tblPr>
      <w:tblCellMar>
        <w:left w:w="0" w:type="dxa"/>
        <w:top w:w="0" w:type="dxa"/>
        <w:right w:w="0" w:type="dxa"/>
        <w:bottom w:w="0" w:type="dxa"/>
      </w:tblCellMar>
    </w:tblPr>
  </w:style>
  <w:style w:type="table" w:customStyle="1" w:styleId="1555">
    <w:name w:val="Bordered - Accent 5"/>
    <w:uiPriority w:val="99"/>
    <w:rPr>
      <w:lang w:bidi="ru-RU"/>
      <w:sz w:val="24"/>
      <w:szCs w:val="24"/>
    </w:rPr>
    <w:tblPr>
      <w:tblCellMar>
        <w:left w:w="0" w:type="dxa"/>
        <w:top w:w="0" w:type="dxa"/>
        <w:right w:w="0" w:type="dxa"/>
        <w:bottom w:w="0" w:type="dxa"/>
      </w:tblCellMar>
    </w:tblPr>
  </w:style>
  <w:style w:type="table" w:customStyle="1" w:styleId="1556">
    <w:name w:val="Bordered - Accent 6"/>
    <w:uiPriority w:val="99"/>
    <w:rPr>
      <w:lang w:bidi="ru-RU"/>
      <w:sz w:val="24"/>
      <w:szCs w:val="24"/>
    </w:rPr>
    <w:tblPr>
      <w:tblCellMar>
        <w:left w:w="0" w:type="dxa"/>
        <w:top w:w="0" w:type="dxa"/>
        <w:right w:w="0"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header" Target="header37.xml"/><Relationship Id="rId39" Type="http://schemas.openxmlformats.org/officeDocument/2006/relationships/header" Target="header38.xml"/><Relationship Id="rId40" Type="http://schemas.openxmlformats.org/officeDocument/2006/relationships/header" Target="header39.xml"/><Relationship Id="rId41" Type="http://schemas.openxmlformats.org/officeDocument/2006/relationships/header" Target="header40.xml"/><Relationship Id="rId42" Type="http://schemas.openxmlformats.org/officeDocument/2006/relationships/header" Target="header41.xml"/><Relationship Id="rId43" Type="http://schemas.openxmlformats.org/officeDocument/2006/relationships/header" Target="header42.xml"/><Relationship Id="rId44" Type="http://schemas.openxmlformats.org/officeDocument/2006/relationships/header" Target="header43.xml"/><Relationship Id="rId45" Type="http://schemas.openxmlformats.org/officeDocument/2006/relationships/header" Target="header44.xml"/><Relationship Id="rId46" Type="http://schemas.openxmlformats.org/officeDocument/2006/relationships/header" Target="header45.xml"/><Relationship Id="rId47" Type="http://schemas.openxmlformats.org/officeDocument/2006/relationships/header" Target="header46.xml"/><Relationship Id="rId48" Type="http://schemas.openxmlformats.org/officeDocument/2006/relationships/header" Target="header47.xml"/><Relationship Id="rId49" Type="http://schemas.openxmlformats.org/officeDocument/2006/relationships/header" Target="header48.xml"/><Relationship Id="rId50" Type="http://schemas.openxmlformats.org/officeDocument/2006/relationships/header" Target="header49.xml"/><Relationship Id="rId51" Type="http://schemas.openxmlformats.org/officeDocument/2006/relationships/header" Target="header50.xml"/><Relationship Id="rId52" Type="http://schemas.openxmlformats.org/officeDocument/2006/relationships/header" Target="header51.xml"/><Relationship Id="rId53" Type="http://schemas.openxmlformats.org/officeDocument/2006/relationships/header" Target="header52.xml"/><Relationship Id="rId54" Type="http://schemas.openxmlformats.org/officeDocument/2006/relationships/header" Target="header53.xml"/><Relationship Id="rId55" Type="http://schemas.openxmlformats.org/officeDocument/2006/relationships/header" Target="header54.xml"/><Relationship Id="rId56" Type="http://schemas.openxmlformats.org/officeDocument/2006/relationships/header" Target="header55.xml"/><Relationship Id="rId57" Type="http://schemas.openxmlformats.org/officeDocument/2006/relationships/header" Target="header56.xml"/><Relationship Id="rId58" Type="http://schemas.openxmlformats.org/officeDocument/2006/relationships/header" Target="header57.xml"/><Relationship Id="rId59" Type="http://schemas.openxmlformats.org/officeDocument/2006/relationships/header" Target="header58.xml"/><Relationship Id="rId60" Type="http://schemas.openxmlformats.org/officeDocument/2006/relationships/header" Target="header59.xml"/><Relationship Id="rId61" Type="http://schemas.openxmlformats.org/officeDocument/2006/relationships/header" Target="header60.xml"/><Relationship Id="rId62" Type="http://schemas.openxmlformats.org/officeDocument/2006/relationships/header" Target="header61.xml"/><Relationship Id="rId63" Type="http://schemas.openxmlformats.org/officeDocument/2006/relationships/header" Target="header62.xml"/><Relationship Id="rId64" Type="http://schemas.openxmlformats.org/officeDocument/2006/relationships/header" Target="header63.xml"/><Relationship Id="rId65" Type="http://schemas.openxmlformats.org/officeDocument/2006/relationships/footnotes" Target="footnotes.xml"/><Relationship Id="rId66" Type="http://schemas.openxmlformats.org/officeDocument/2006/relationships/numbering" Target="numbering.xml"/><Relationship Id="rId67" Type="http://schemas.openxmlformats.org/officeDocument/2006/relationships/fontTable" Target="fontTable.xml"/><Relationship Id="rId68" Type="http://schemas.openxmlformats.org/officeDocument/2006/relationships/settings" Target="settings.xml"/><Relationship Id="rId6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LibreOffice/25.2.3.2$Linux_X86_64 LibreOffice_project/520$Build-2</Application>
  <AppVersion>15.0000</AppVersion>
  <Pages>58</Pages>
  <Words>17107</Words>
  <Characters>123107</Characters>
  <CharactersWithSpaces>139031</CharactersWithSpaces>
  <Paragraphs>1030</Paragraphs>
  <Company>Группа РЭЦ</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2025-12-09T14:17:00Z</dcterms:created>
  <dc:creator>Плетнев Алекс</dc:creator>
  <dc:description/>
  <dc:language>ru-RU</dc:language>
  <cp:lastModifiedBy>pletnev</cp:lastModifiedBy>
  <cp:lastPrinted>2026-03-11T15:14:29Z</cp:lastPrinted>
  <dcterms:modified xsi:type="dcterms:W3CDTF">2026-01-12T14:05:10Z</dcterms:modified>
  <cp:revision>18</cp:revision>
  <dc:subject/>
  <dc:title>РЭС 3.0</dc:title>
  <cp:version>1048576</cp:version>
</cp:coreProperties>
</file>

<file path=docProps/custom.xml><?xml version="1.0" encoding="utf-8"?>
<Properties xmlns="http://schemas.openxmlformats.org/officeDocument/2006/custom-properties" xmlns:vt="http://schemas.openxmlformats.org/officeDocument/2006/docPropsVTypes"/>
</file>