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Уведомление</w:t>
      </w:r>
    </w:p>
    <w:p w14:paraId="02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о начале обсуждения идеи</w:t>
      </w:r>
    </w:p>
    <w:p w14:paraId="03000000">
      <w:pPr>
        <w:pStyle w:val="Style_1"/>
        <w:widowControl w:val="1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предлагаемого правового регулирования</w:t>
      </w:r>
    </w:p>
    <w:p w14:paraId="04000000">
      <w:pPr>
        <w:pStyle w:val="Style_1"/>
        <w:widowControl w:val="1"/>
        <w:ind/>
        <w:jc w:val="center"/>
        <w:outlineLvl w:val="0"/>
        <w:rPr>
          <w:rFonts w:ascii="Times New Roman" w:hAnsi="Times New Roman"/>
          <w:sz w:val="26"/>
        </w:rPr>
      </w:pPr>
    </w:p>
    <w:p w14:paraId="05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Департамент внутреннего контроля и надзора Ненецкого автономного округа</w:t>
      </w:r>
      <w:r>
        <w:rPr>
          <w:rFonts w:ascii="Times New Roman" w:hAnsi="Times New Roman"/>
          <w:sz w:val="26"/>
        </w:rPr>
        <w:t xml:space="preserve"> извещает о начале обсуждения идеи предлагаемого правового регулирования и сборе предложений заинтересованных лиц.</w:t>
      </w:r>
    </w:p>
    <w:p w14:paraId="06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Предложения принимаются по адресу:</w:t>
      </w:r>
      <w:r>
        <w:rPr>
          <w:rFonts w:ascii="Times New Roman" w:hAnsi="Times New Roman"/>
          <w:sz w:val="26"/>
        </w:rPr>
        <w:t xml:space="preserve"> ул. им. В.И. Ленина, дом 38, офис 40</w:t>
      </w:r>
      <w:r>
        <w:rPr>
          <w:rFonts w:ascii="Times New Roman" w:hAnsi="Times New Roman"/>
          <w:sz w:val="26"/>
        </w:rPr>
        <w:t>5</w:t>
      </w:r>
      <w:r>
        <w:rPr>
          <w:rFonts w:ascii="Times New Roman" w:hAnsi="Times New Roman"/>
          <w:sz w:val="26"/>
        </w:rPr>
        <w:t>, г. Нарьян-Мар, Ненецкий АО, 166000, в часы работы с понедельника по</w:t>
      </w:r>
      <w:r>
        <w:rPr>
          <w:rFonts w:ascii="Times New Roman" w:hAnsi="Times New Roman"/>
          <w:sz w:val="26"/>
        </w:rPr>
        <w:t xml:space="preserve"> пятницу с 08 час. 30 мин. до 17 час. 30 мин., за исключением обеденного перерыва с 12 час.30 мин. до 13 час.30 мин., а также по адресу электронной почты: </w:t>
      </w:r>
      <w:r>
        <w:rPr>
          <w:rStyle w:val="Style_2_ch"/>
          <w:rFonts w:ascii="Times New Roman" w:hAnsi="Times New Roman"/>
          <w:sz w:val="26"/>
        </w:rPr>
        <w:fldChar w:fldCharType="begin"/>
      </w:r>
      <w:r>
        <w:rPr>
          <w:rStyle w:val="Style_2_ch"/>
          <w:rFonts w:ascii="Times New Roman" w:hAnsi="Times New Roman"/>
          <w:sz w:val="26"/>
        </w:rPr>
        <w:instrText>HYPERLINK "mailto:dvknnao@adm-nao.ru"</w:instrText>
      </w:r>
      <w:r>
        <w:rPr>
          <w:rStyle w:val="Style_2_ch"/>
          <w:rFonts w:ascii="Times New Roman" w:hAnsi="Times New Roman"/>
          <w:sz w:val="26"/>
        </w:rPr>
        <w:fldChar w:fldCharType="separate"/>
      </w:r>
      <w:r>
        <w:rPr>
          <w:rStyle w:val="Style_2_ch"/>
          <w:rFonts w:ascii="Times New Roman" w:hAnsi="Times New Roman"/>
          <w:sz w:val="26"/>
        </w:rPr>
        <w:t>dvknnao@adm-nao.ru</w:t>
      </w:r>
      <w:r>
        <w:rPr>
          <w:rStyle w:val="Style_2_ch"/>
          <w:rFonts w:ascii="Times New Roman" w:hAnsi="Times New Roman"/>
          <w:sz w:val="26"/>
        </w:rPr>
        <w:fldChar w:fldCharType="end"/>
      </w:r>
      <w:r>
        <w:rPr>
          <w:rFonts w:ascii="Times New Roman" w:hAnsi="Times New Roman"/>
          <w:sz w:val="26"/>
        </w:rPr>
        <w:t>.</w:t>
      </w:r>
    </w:p>
    <w:p w14:paraId="07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Срок приема предложений:</w:t>
      </w:r>
      <w:r>
        <w:rPr>
          <w:rFonts w:ascii="Times New Roman" w:hAnsi="Times New Roman"/>
          <w:sz w:val="26"/>
        </w:rPr>
        <w:t xml:space="preserve"> в течение 5 рабо</w:t>
      </w:r>
      <w:r>
        <w:rPr>
          <w:rFonts w:ascii="Times New Roman" w:hAnsi="Times New Roman"/>
          <w:sz w:val="26"/>
        </w:rPr>
        <w:t>чих дней со дня размещения уведомления.</w:t>
      </w:r>
    </w:p>
    <w:p w14:paraId="08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 xml:space="preserve">Сводка предложений будет размещена в информационно-телекоммуникационной сети </w:t>
      </w:r>
      <w:r>
        <w:rPr>
          <w:rFonts w:ascii="Times New Roman" w:hAnsi="Times New Roman"/>
          <w:b w:val="1"/>
          <w:sz w:val="26"/>
        </w:rPr>
        <w:t>«</w:t>
      </w:r>
      <w:r>
        <w:rPr>
          <w:rFonts w:ascii="Times New Roman" w:hAnsi="Times New Roman"/>
          <w:b w:val="1"/>
          <w:sz w:val="26"/>
        </w:rPr>
        <w:t>Интернет</w:t>
      </w:r>
      <w:r>
        <w:rPr>
          <w:rFonts w:ascii="Times New Roman" w:hAnsi="Times New Roman"/>
          <w:b w:val="1"/>
          <w:sz w:val="26"/>
        </w:rPr>
        <w:t>»</w:t>
      </w:r>
      <w:r>
        <w:rPr>
          <w:rFonts w:ascii="Times New Roman" w:hAnsi="Times New Roman"/>
          <w:b w:val="1"/>
          <w:sz w:val="26"/>
        </w:rPr>
        <w:t xml:space="preserve"> по адресу:</w:t>
      </w:r>
      <w:r>
        <w:t xml:space="preserve"> </w:t>
      </w:r>
      <w:r>
        <w:rPr>
          <w:rStyle w:val="Style_2_ch"/>
          <w:rFonts w:ascii="Times New Roman" w:hAnsi="Times New Roman"/>
          <w:sz w:val="26"/>
        </w:rPr>
        <w:fldChar w:fldCharType="begin"/>
      </w:r>
      <w:r>
        <w:rPr>
          <w:rStyle w:val="Style_2_ch"/>
          <w:rFonts w:ascii="Times New Roman" w:hAnsi="Times New Roman"/>
          <w:sz w:val="26"/>
        </w:rPr>
        <w:instrText>HYPERLINK "https://derpi.adm-nao.ru/orv/"</w:instrText>
      </w:r>
      <w:r>
        <w:rPr>
          <w:rStyle w:val="Style_2_ch"/>
          <w:rFonts w:ascii="Times New Roman" w:hAnsi="Times New Roman"/>
          <w:sz w:val="26"/>
        </w:rPr>
        <w:fldChar w:fldCharType="separate"/>
      </w:r>
      <w:r>
        <w:rPr>
          <w:rStyle w:val="Style_2_ch"/>
          <w:rFonts w:ascii="Times New Roman" w:hAnsi="Times New Roman"/>
          <w:sz w:val="26"/>
        </w:rPr>
        <w:t>https://derpi.adm-nao.ru/orv/</w:t>
      </w:r>
      <w:r>
        <w:rPr>
          <w:rStyle w:val="Style_2_ch"/>
          <w:rFonts w:ascii="Times New Roman" w:hAnsi="Times New Roman"/>
          <w:sz w:val="26"/>
        </w:rPr>
        <w:fldChar w:fldCharType="end"/>
      </w:r>
      <w:r>
        <w:rPr>
          <w:rFonts w:ascii="Times New Roman" w:hAnsi="Times New Roman"/>
          <w:sz w:val="26"/>
        </w:rPr>
        <w:t xml:space="preserve"> не позднее 8 рабочих дней со дня окончания </w:t>
      </w:r>
      <w:r>
        <w:rPr>
          <w:rFonts w:ascii="Times New Roman" w:hAnsi="Times New Roman"/>
          <w:sz w:val="26"/>
        </w:rPr>
        <w:t>приема предложений.</w:t>
      </w:r>
    </w:p>
    <w:p w14:paraId="09000000">
      <w:pPr>
        <w:pStyle w:val="Style_1"/>
        <w:widowControl w:val="1"/>
        <w:ind w:firstLine="708"/>
        <w:jc w:val="both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1. Описание проблемы, на решение которой направлено предлагаемое правовое регулирование:</w:t>
      </w:r>
    </w:p>
    <w:p w14:paraId="0A000000">
      <w:pPr>
        <w:pStyle w:val="Style_3"/>
        <w:widowControl w:val="1"/>
        <w:spacing w:after="0" w:before="0" w:line="288" w:lineRule="atLeast"/>
        <w:ind w:firstLine="709"/>
        <w:jc w:val="both"/>
        <w:rPr>
          <w:sz w:val="26"/>
        </w:rPr>
      </w:pPr>
      <w:r>
        <w:rPr>
          <w:sz w:val="26"/>
        </w:rPr>
        <w:t>Проект постановления Администрации Ненецкого автономного округа</w:t>
      </w:r>
      <w:r>
        <w:rPr>
          <w:sz w:val="26"/>
        </w:rPr>
        <w:br/>
      </w:r>
      <w:r>
        <w:rPr>
          <w:sz w:val="26"/>
        </w:rPr>
        <w:t>«</w:t>
      </w:r>
      <w:r>
        <w:rPr>
          <w:sz w:val="26"/>
        </w:rPr>
        <w:t xml:space="preserve">Об утверждении Положения </w:t>
      </w:r>
      <w:r>
        <w:rPr>
          <w:sz w:val="26"/>
        </w:rPr>
        <w:t>о региональном государственном контроле (надзоре) за соблюдением юридическими лицами, индивидуальными предпринимателями, подрядчиками требований к порядку и срокам размещения</w:t>
      </w:r>
      <w:r>
        <w:rPr>
          <w:sz w:val="26"/>
        </w:rPr>
        <w:t xml:space="preserve"> </w:t>
      </w:r>
      <w:r>
        <w:rPr>
          <w:sz w:val="26"/>
        </w:rPr>
        <w:t>в единой информационной системе жилищного строительства информации</w:t>
      </w:r>
      <w:r>
        <w:rPr>
          <w:sz w:val="26"/>
        </w:rPr>
        <w:t xml:space="preserve"> </w:t>
      </w:r>
      <w:r>
        <w:rPr>
          <w:sz w:val="26"/>
        </w:rPr>
        <w:t>и сведений, предусмотренных частями 2 и 4 статьи 4 Федерального закона</w:t>
      </w:r>
      <w:r>
        <w:rPr>
          <w:sz w:val="26"/>
        </w:rPr>
        <w:t xml:space="preserve"> </w:t>
      </w:r>
      <w:r>
        <w:rPr>
          <w:sz w:val="26"/>
        </w:rPr>
        <w:t>от 22.07.2024 № 186-</w:t>
      </w:r>
      <w:r>
        <w:rPr>
          <w:sz w:val="26"/>
        </w:rPr>
        <w:t>Ф</w:t>
      </w:r>
      <w:r>
        <w:rPr>
          <w:sz w:val="26"/>
        </w:rPr>
        <w:t>З «О строительстве жилых домов по договорам строительного подряда с использованием счетов эскроу», необходимых для строительства жилых домов по договорам строительного подряда на территории Ненецкого автономного округа»</w:t>
      </w:r>
      <w:r>
        <w:rPr>
          <w:sz w:val="26"/>
        </w:rPr>
        <w:t xml:space="preserve"> разработан в целях реализации положений части 8 статьи 4 </w:t>
      </w:r>
      <w:r>
        <w:rPr>
          <w:sz w:val="26"/>
        </w:rPr>
        <w:t>Федеральн</w:t>
      </w:r>
      <w:r>
        <w:rPr>
          <w:sz w:val="26"/>
        </w:rPr>
        <w:t>ого</w:t>
      </w:r>
      <w:r>
        <w:rPr>
          <w:sz w:val="26"/>
        </w:rPr>
        <w:t xml:space="preserve"> закон</w:t>
      </w:r>
      <w:r>
        <w:rPr>
          <w:sz w:val="26"/>
        </w:rPr>
        <w:t>а</w:t>
      </w:r>
      <w:r>
        <w:rPr>
          <w:sz w:val="26"/>
        </w:rPr>
        <w:t xml:space="preserve"> от 22.07.2024 </w:t>
      </w:r>
      <w:r>
        <w:rPr>
          <w:sz w:val="26"/>
        </w:rPr>
        <w:t>№ </w:t>
      </w:r>
      <w:r>
        <w:rPr>
          <w:sz w:val="26"/>
        </w:rPr>
        <w:t>186-ФЗ</w:t>
      </w:r>
      <w:r>
        <w:rPr>
          <w:sz w:val="26"/>
        </w:rPr>
        <w:t xml:space="preserve"> «</w:t>
      </w:r>
      <w:r>
        <w:rPr>
          <w:sz w:val="26"/>
        </w:rPr>
        <w:t>О строительстве жилых домов по договорам строительного подряда с использованием счетов эскроу</w:t>
      </w:r>
      <w:r>
        <w:rPr>
          <w:sz w:val="26"/>
        </w:rPr>
        <w:t xml:space="preserve">» </w:t>
      </w:r>
      <w:r>
        <w:rPr>
          <w:sz w:val="26"/>
        </w:rPr>
        <w:t xml:space="preserve">(далее — Федеральный закон № 186-ФЗ), наделяющего исполнительный орган субъекта Российской Федерации, уполномоченный высшим исполнительным органом субъекта Российской Федерации, осуществлять региональный государственный </w:t>
      </w:r>
      <w:r>
        <w:rPr>
          <w:sz w:val="26"/>
        </w:rPr>
        <w:t>контрол</w:t>
      </w:r>
      <w:r>
        <w:rPr>
          <w:sz w:val="26"/>
        </w:rPr>
        <w:t>ь</w:t>
      </w:r>
      <w:r>
        <w:rPr>
          <w:sz w:val="26"/>
        </w:rPr>
        <w:t xml:space="preserve"> (надзор) за соблюдением юридическими лицами, индивидуальными предпринимателями, подрядчиками требований к порядку и срокам размещения</w:t>
      </w:r>
      <w:r>
        <w:rPr>
          <w:sz w:val="26"/>
        </w:rPr>
        <w:t xml:space="preserve"> </w:t>
      </w:r>
      <w:r>
        <w:rPr>
          <w:sz w:val="26"/>
        </w:rPr>
        <w:t>в единой информационной системе жилищного строительства информации</w:t>
      </w:r>
      <w:r>
        <w:rPr>
          <w:sz w:val="26"/>
        </w:rPr>
        <w:t xml:space="preserve"> </w:t>
      </w:r>
      <w:r>
        <w:rPr>
          <w:sz w:val="26"/>
        </w:rPr>
        <w:t>и сведений, предусмотренных частями 2 и 4 статьи 4 Федерального закона</w:t>
      </w:r>
      <w:r>
        <w:rPr>
          <w:sz w:val="26"/>
        </w:rPr>
        <w:t xml:space="preserve"> </w:t>
      </w:r>
      <w:r>
        <w:rPr>
          <w:sz w:val="26"/>
        </w:rPr>
        <w:t>от 22.07.2024 № 186-</w:t>
      </w:r>
      <w:r>
        <w:rPr>
          <w:sz w:val="26"/>
        </w:rPr>
        <w:t>Ф</w:t>
      </w:r>
      <w:r>
        <w:rPr>
          <w:sz w:val="26"/>
        </w:rPr>
        <w:t>З «О строительстве жилых домов по договорам строительного подряда с использованием счетов эскроу», необходимых для строительства жилых домов по договорам строительного подряда</w:t>
      </w:r>
      <w:r>
        <w:rPr>
          <w:sz w:val="26"/>
        </w:rPr>
        <w:t>.</w:t>
      </w:r>
    </w:p>
    <w:p w14:paraId="0B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Планируется наделение ДВКН НАО полномочиями по осуществлению регионального государственного </w:t>
      </w:r>
      <w:r>
        <w:rPr>
          <w:rFonts w:ascii="Times New Roman" w:hAnsi="Times New Roman"/>
          <w:sz w:val="26"/>
        </w:rPr>
        <w:t>контрол</w:t>
      </w:r>
      <w:r>
        <w:rPr>
          <w:rFonts w:ascii="Times New Roman" w:hAnsi="Times New Roman"/>
          <w:sz w:val="26"/>
        </w:rPr>
        <w:t>я</w:t>
      </w:r>
      <w:r>
        <w:rPr>
          <w:rFonts w:ascii="Times New Roman" w:hAnsi="Times New Roman"/>
          <w:sz w:val="26"/>
        </w:rPr>
        <w:t xml:space="preserve"> (надзор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z w:val="26"/>
        </w:rPr>
        <w:t>) за соблюдением юридическими лицами, индивидуальными предпринимателями, подрядчиками требований к порядку и срокам размещения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в единой информационной системе жилищного строительства информации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и сведений, предусмотренных частями 2 и 4 статьи 4 Федерального закона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от 22.07.2024 № 186-</w:t>
      </w:r>
      <w:r>
        <w:rPr>
          <w:rFonts w:ascii="Times New Roman" w:hAnsi="Times New Roman"/>
          <w:sz w:val="26"/>
        </w:rPr>
        <w:t>Ф</w:t>
      </w:r>
      <w:r>
        <w:rPr>
          <w:rFonts w:ascii="Times New Roman" w:hAnsi="Times New Roman"/>
          <w:sz w:val="26"/>
        </w:rPr>
        <w:t xml:space="preserve">З «О строительстве жилых домов по договорам строительного подряда с использованием счетов эскроу», </w:t>
      </w:r>
      <w:r>
        <w:rPr>
          <w:rFonts w:ascii="Times New Roman" w:hAnsi="Times New Roman"/>
          <w:sz w:val="26"/>
        </w:rPr>
        <w:t>необходимых для строительства жилых домов по договорам строительного подряда</w:t>
      </w:r>
      <w:r>
        <w:rPr>
          <w:rFonts w:ascii="Times New Roman" w:hAnsi="Times New Roman"/>
          <w:sz w:val="26"/>
        </w:rPr>
        <w:t>.</w:t>
      </w:r>
    </w:p>
    <w:p w14:paraId="0C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2. Цели пред</w:t>
      </w:r>
      <w:r>
        <w:rPr>
          <w:rFonts w:ascii="Times New Roman" w:hAnsi="Times New Roman"/>
          <w:b w:val="1"/>
          <w:sz w:val="26"/>
        </w:rPr>
        <w:t>лагаемого правового регулирования: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возможность </w:t>
      </w:r>
      <w:r>
        <w:rPr>
          <w:rFonts w:ascii="Times New Roman" w:hAnsi="Times New Roman"/>
          <w:sz w:val="26"/>
        </w:rPr>
        <w:t>осуществл</w:t>
      </w:r>
      <w:r>
        <w:rPr>
          <w:rFonts w:ascii="Times New Roman" w:hAnsi="Times New Roman"/>
          <w:sz w:val="26"/>
        </w:rPr>
        <w:t>ения</w:t>
      </w:r>
      <w:r>
        <w:rPr>
          <w:rFonts w:ascii="Times New Roman" w:hAnsi="Times New Roman"/>
          <w:sz w:val="26"/>
        </w:rPr>
        <w:t xml:space="preserve"> региональн</w:t>
      </w:r>
      <w:r>
        <w:rPr>
          <w:rFonts w:ascii="Times New Roman" w:hAnsi="Times New Roman"/>
          <w:sz w:val="26"/>
        </w:rPr>
        <w:t>ого</w:t>
      </w:r>
      <w:r>
        <w:rPr>
          <w:rFonts w:ascii="Times New Roman" w:hAnsi="Times New Roman"/>
          <w:sz w:val="26"/>
        </w:rPr>
        <w:t xml:space="preserve"> государственн</w:t>
      </w:r>
      <w:r>
        <w:rPr>
          <w:rFonts w:ascii="Times New Roman" w:hAnsi="Times New Roman"/>
          <w:sz w:val="26"/>
        </w:rPr>
        <w:t>ого</w:t>
      </w:r>
      <w:r>
        <w:rPr>
          <w:rFonts w:ascii="Times New Roman" w:hAnsi="Times New Roman"/>
          <w:sz w:val="26"/>
        </w:rPr>
        <w:t xml:space="preserve"> контрол</w:t>
      </w:r>
      <w:r>
        <w:rPr>
          <w:rFonts w:ascii="Times New Roman" w:hAnsi="Times New Roman"/>
          <w:sz w:val="26"/>
        </w:rPr>
        <w:t>я</w:t>
      </w:r>
      <w:r>
        <w:rPr>
          <w:rFonts w:ascii="Times New Roman" w:hAnsi="Times New Roman"/>
          <w:sz w:val="26"/>
        </w:rPr>
        <w:t xml:space="preserve"> (надзор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z w:val="26"/>
        </w:rPr>
        <w:t>) за соблюдением юридическими лицами, индивидуальными предпринимателями, подрядчиками требований к порядку и срокам размещения в единой информационной системе жилищного строительства информации и сведений, предусмотренных частями 2 и 4 статьи 4 Федерального закона от 22.07.2024 № 186-ФЗ «О строительстве жилых домов по договорам строительного подряда с использованием счетов эскроу», необходимых для строительства жилых домов по договорам строительного подряда</w:t>
      </w:r>
      <w:r>
        <w:rPr>
          <w:rFonts w:ascii="Times New Roman" w:hAnsi="Times New Roman"/>
          <w:sz w:val="26"/>
        </w:rPr>
        <w:t>.</w:t>
      </w:r>
    </w:p>
    <w:p w14:paraId="0D000000">
      <w:pPr>
        <w:pStyle w:val="Style_1"/>
        <w:widowControl w:val="1"/>
        <w:ind w:firstLine="709"/>
        <w:jc w:val="both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Ожидаемый результат предл</w:t>
      </w:r>
      <w:r>
        <w:rPr>
          <w:rFonts w:ascii="Times New Roman" w:hAnsi="Times New Roman"/>
          <w:b w:val="1"/>
          <w:sz w:val="26"/>
        </w:rPr>
        <w:t>агаемого правового регулирования (выраженный установленными разработчиком показателями):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обеспечение </w:t>
      </w:r>
      <w:r>
        <w:rPr>
          <w:rFonts w:ascii="Times New Roman" w:hAnsi="Times New Roman"/>
          <w:sz w:val="26"/>
        </w:rPr>
        <w:t xml:space="preserve">защиты </w:t>
      </w:r>
      <w:r>
        <w:rPr>
          <w:rFonts w:ascii="Times New Roman" w:hAnsi="Times New Roman"/>
          <w:sz w:val="26"/>
        </w:rPr>
        <w:t>прав и законных имущественных интересов граждан – заказчиков по договорам строительного подряда.</w:t>
      </w:r>
    </w:p>
    <w:p w14:paraId="0E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 xml:space="preserve">3. Действующие нормативные правовые акты, поручения, другие </w:t>
      </w:r>
      <w:r>
        <w:rPr>
          <w:rFonts w:ascii="Times New Roman" w:hAnsi="Times New Roman"/>
          <w:b w:val="1"/>
          <w:sz w:val="26"/>
        </w:rPr>
        <w:t>решения, из которых вытекает необходимость предлагаемого правового регулирования:</w:t>
      </w:r>
      <w:r>
        <w:rPr>
          <w:rFonts w:ascii="Times New Roman" w:hAnsi="Times New Roman"/>
          <w:sz w:val="26"/>
        </w:rPr>
        <w:t xml:space="preserve"> часть </w:t>
      </w:r>
      <w:r>
        <w:rPr>
          <w:rFonts w:ascii="Times New Roman" w:hAnsi="Times New Roman"/>
          <w:sz w:val="26"/>
        </w:rPr>
        <w:t>8</w:t>
      </w:r>
      <w:r>
        <w:rPr>
          <w:rFonts w:ascii="Times New Roman" w:hAnsi="Times New Roman"/>
          <w:sz w:val="26"/>
        </w:rPr>
        <w:t xml:space="preserve"> статьи </w:t>
      </w:r>
      <w:r>
        <w:rPr>
          <w:rFonts w:ascii="Times New Roman" w:hAnsi="Times New Roman"/>
          <w:sz w:val="26"/>
        </w:rPr>
        <w:t>4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  <w:highlight w:val="white"/>
        </w:rPr>
        <w:t> </w:t>
      </w:r>
      <w:r>
        <w:rPr>
          <w:rStyle w:val="Style_4_ch"/>
          <w:rFonts w:ascii="Times New Roman" w:hAnsi="Times New Roman"/>
          <w:b w:val="0"/>
          <w:sz w:val="26"/>
          <w:highlight w:val="white"/>
        </w:rPr>
        <w:t>Федеральн</w:t>
      </w:r>
      <w:r>
        <w:rPr>
          <w:rStyle w:val="Style_4_ch"/>
          <w:rFonts w:ascii="Times New Roman" w:hAnsi="Times New Roman"/>
          <w:b w:val="0"/>
          <w:sz w:val="26"/>
          <w:highlight w:val="white"/>
        </w:rPr>
        <w:t>ого</w:t>
      </w:r>
      <w:r>
        <w:rPr>
          <w:rStyle w:val="Style_4_ch"/>
          <w:rFonts w:ascii="Times New Roman" w:hAnsi="Times New Roman"/>
          <w:b w:val="0"/>
          <w:sz w:val="26"/>
          <w:highlight w:val="white"/>
        </w:rPr>
        <w:t xml:space="preserve"> закон</w:t>
      </w:r>
      <w:r>
        <w:rPr>
          <w:rStyle w:val="Style_4_ch"/>
          <w:rFonts w:ascii="Times New Roman" w:hAnsi="Times New Roman"/>
          <w:b w:val="0"/>
          <w:sz w:val="26"/>
          <w:highlight w:val="white"/>
        </w:rPr>
        <w:t>а</w:t>
      </w:r>
      <w:r>
        <w:rPr>
          <w:rStyle w:val="Style_4_ch"/>
          <w:rFonts w:ascii="Times New Roman" w:hAnsi="Times New Roman"/>
          <w:b w:val="0"/>
          <w:sz w:val="26"/>
          <w:highlight w:val="white"/>
        </w:rPr>
        <w:t xml:space="preserve"> от 22.07.2024 № 186-ФЗ</w:t>
      </w:r>
      <w:r>
        <w:rPr>
          <w:rFonts w:ascii="Times New Roman" w:hAnsi="Times New Roman"/>
          <w:b w:val="1"/>
          <w:sz w:val="26"/>
          <w:highlight w:val="white"/>
        </w:rPr>
        <w:t> </w:t>
      </w:r>
      <w:r>
        <w:rPr>
          <w:rFonts w:ascii="Times New Roman" w:hAnsi="Times New Roman"/>
          <w:sz w:val="26"/>
          <w:highlight w:val="white"/>
        </w:rPr>
        <w:t>«О строительстве жилых домов по договорам строительного подряда с использованием счетов эскроу»</w:t>
      </w:r>
      <w:r>
        <w:rPr>
          <w:rFonts w:ascii="Times New Roman" w:hAnsi="Times New Roman"/>
          <w:sz w:val="26"/>
        </w:rPr>
        <w:t>.</w:t>
      </w:r>
    </w:p>
    <w:p w14:paraId="0F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4. Планируемый срок вступления в силу предлагаемого правового регулирования:</w:t>
      </w:r>
      <w:r>
        <w:rPr>
          <w:rFonts w:ascii="Times New Roman" w:hAnsi="Times New Roman"/>
          <w:sz w:val="26"/>
        </w:rPr>
        <w:t xml:space="preserve"> с 1 </w:t>
      </w:r>
      <w:r>
        <w:rPr>
          <w:rFonts w:ascii="Times New Roman" w:hAnsi="Times New Roman"/>
          <w:sz w:val="26"/>
        </w:rPr>
        <w:t>января</w:t>
      </w:r>
      <w:r>
        <w:rPr>
          <w:rFonts w:ascii="Times New Roman" w:hAnsi="Times New Roman"/>
          <w:sz w:val="26"/>
        </w:rPr>
        <w:t xml:space="preserve"> 2027 года.</w:t>
      </w:r>
    </w:p>
    <w:p w14:paraId="10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5. Сведения о необходимости или отсутствии необходимости установления пе</w:t>
      </w:r>
      <w:r>
        <w:rPr>
          <w:rFonts w:ascii="Times New Roman" w:hAnsi="Times New Roman"/>
          <w:b w:val="1"/>
          <w:sz w:val="26"/>
        </w:rPr>
        <w:t>реходного периода:</w:t>
      </w:r>
      <w:r>
        <w:rPr>
          <w:rFonts w:ascii="Times New Roman" w:hAnsi="Times New Roman"/>
          <w:sz w:val="26"/>
        </w:rPr>
        <w:t xml:space="preserve"> необходимость установления переходного периода отсутствует.</w:t>
      </w:r>
    </w:p>
    <w:p w14:paraId="11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 xml:space="preserve">6. Сравнение возможных вариантов решения проблемы: </w:t>
      </w:r>
    </w:p>
    <w:p w14:paraId="12000000">
      <w:pPr>
        <w:pStyle w:val="Style_1"/>
        <w:widowControl w:val="1"/>
        <w:ind w:firstLine="708"/>
        <w:jc w:val="both"/>
        <w:rPr>
          <w:rFonts w:ascii="Times New Roman" w:hAnsi="Times New Roman"/>
          <w:b w:val="1"/>
          <w:sz w:val="26"/>
        </w:rPr>
      </w:pPr>
    </w:p>
    <w:p w14:paraId="13000000">
      <w:pPr>
        <w:pStyle w:val="Style_1"/>
        <w:widowControl w:val="1"/>
        <w:ind w:firstLine="708"/>
        <w:jc w:val="both"/>
        <w:rPr>
          <w:rFonts w:ascii="Times New Roman" w:hAnsi="Times New Roman"/>
          <w:b w:val="1"/>
          <w:sz w:val="26"/>
        </w:rPr>
      </w:pPr>
    </w:p>
    <w:p w14:paraId="14000000">
      <w:pPr>
        <w:pStyle w:val="Style_5"/>
        <w:widowControl w:val="1"/>
        <w:ind/>
        <w:jc w:val="both"/>
        <w:rPr>
          <w:rFonts w:ascii="Times New Roman" w:hAnsi="Times New Roman"/>
          <w:sz w:val="26"/>
        </w:rPr>
      </w:pPr>
    </w:p>
    <w:tbl>
      <w:tblPr>
        <w:tblStyle w:val="Style_6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401"/>
        <w:gridCol w:w="2154"/>
        <w:gridCol w:w="1701"/>
        <w:gridCol w:w="1814"/>
      </w:tblGrid>
      <w:tr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Вариант 1</w:t>
            </w: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Вариант 2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...</w:t>
            </w: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Вариант N</w:t>
            </w:r>
          </w:p>
        </w:tc>
      </w:tr>
      <w:tr>
        <w:tc>
          <w:tcPr>
            <w:tcW w:type="dxa" w:w="90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Содержание варианта:</w:t>
            </w:r>
          </w:p>
        </w:tc>
      </w:tr>
      <w:tr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00000">
            <w:pPr>
              <w:pStyle w:val="Style_5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Проект</w:t>
            </w:r>
            <w:r>
              <w:rPr>
                <w:rFonts w:ascii="Times New Roman" w:hAnsi="Times New Roman"/>
                <w:sz w:val="26"/>
              </w:rPr>
              <w:t xml:space="preserve"> постановления Администрации Ненецкого автономного округа</w:t>
            </w:r>
            <w:r>
              <w:rPr>
                <w:rFonts w:ascii="Times New Roman" w:hAnsi="Times New Roman"/>
                <w:sz w:val="26"/>
              </w:rPr>
              <w:br/>
            </w:r>
            <w:r>
              <w:rPr>
                <w:rFonts w:ascii="Times New Roman" w:hAnsi="Times New Roman"/>
                <w:sz w:val="26"/>
              </w:rPr>
              <w:t>«</w:t>
            </w:r>
            <w:r>
              <w:rPr>
                <w:rFonts w:ascii="Times New Roman" w:hAnsi="Times New Roman"/>
                <w:sz w:val="26"/>
              </w:rPr>
              <w:t xml:space="preserve">Об утверждении Положения </w:t>
            </w:r>
            <w:r>
              <w:rPr>
                <w:rFonts w:ascii="Times New Roman" w:hAnsi="Times New Roman"/>
                <w:sz w:val="26"/>
              </w:rPr>
              <w:t xml:space="preserve">о региональном государственном контроле (надзоре) за соблюдением юридическими лицами, индивидуальными предпринимателями, подрядчиками требований к порядку и срокам размещения в единой информационной системе жилищного строительства информации и сведений, предусмотренных частями 2 </w:t>
            </w:r>
            <w:r>
              <w:rPr>
                <w:rFonts w:ascii="Times New Roman" w:hAnsi="Times New Roman"/>
                <w:sz w:val="26"/>
              </w:rPr>
              <w:t>и 4 статьи 4 Федерального закона от 22.07.2024 № 186-ФЗ «О строительстве жилых домов по договорам строительного подряда с использованием счетов эскроу», необходимых для строительства жилых домов по договорам строительного подряда на территории Ненецкого автономного округа»</w:t>
            </w: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</w:t>
            </w:r>
            <w:r>
              <w:rPr>
                <w:rFonts w:ascii="Times New Roman" w:hAnsi="Times New Roman"/>
                <w:sz w:val="26"/>
              </w:rPr>
              <w:t>евмешательство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</w:tr>
      <w:tr>
        <w:tc>
          <w:tcPr>
            <w:tcW w:type="dxa" w:w="90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Качественная характеристика и </w:t>
            </w:r>
            <w:r>
              <w:rPr>
                <w:rFonts w:ascii="Times New Roman" w:hAnsi="Times New Roman"/>
                <w:sz w:val="26"/>
              </w:rPr>
              <w:t>оценка динамики численности потенциальных адресатов предлагаемого варианта в среднесрочном периоде (1 - 3 года):</w:t>
            </w:r>
          </w:p>
        </w:tc>
      </w:tr>
      <w:tr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00000">
            <w:pPr>
              <w:pStyle w:val="Style_5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Оценка невозможна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</w:tr>
      <w:tr>
        <w:tc>
          <w:tcPr>
            <w:tcW w:type="dxa" w:w="90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Оценка дополнительных расходов (доходов) потенциальных адресатов предлагаемого варианта, связанных с его введением:</w:t>
            </w:r>
          </w:p>
        </w:tc>
      </w:tr>
      <w:tr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Дополнительных расходов не потребуется</w:t>
            </w: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Без изменений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</w:tr>
      <w:tr>
        <w:tc>
          <w:tcPr>
            <w:tcW w:type="dxa" w:w="90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Оценка расходов (доходов) окружного бюджета, </w:t>
            </w:r>
            <w:r>
              <w:rPr>
                <w:rFonts w:ascii="Times New Roman" w:hAnsi="Times New Roman"/>
                <w:sz w:val="26"/>
              </w:rPr>
              <w:t>связанных с введением предлагаемого варианта:</w:t>
            </w:r>
          </w:p>
        </w:tc>
      </w:tr>
      <w:tr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Расходы окружного бюджета не изменятся</w:t>
            </w: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Оценка невозможна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</w:tr>
      <w:tr>
        <w:tc>
          <w:tcPr>
            <w:tcW w:type="dxa" w:w="90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Оценка возможности достижения заявленных целей предлагаемого правового регулирования посредством применения рассматриваемых вариантов:</w:t>
            </w:r>
          </w:p>
        </w:tc>
      </w:tr>
      <w:tr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00000">
            <w:pPr>
              <w:pStyle w:val="Style_5"/>
              <w:widowControl w:val="1"/>
              <w:ind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Без изменений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00000">
            <w:pPr>
              <w:pStyle w:val="Style_5"/>
              <w:widowControl w:val="1"/>
              <w:ind/>
              <w:rPr>
                <w:rFonts w:ascii="Times New Roman" w:hAnsi="Times New Roman"/>
                <w:sz w:val="26"/>
              </w:rPr>
            </w:pPr>
          </w:p>
        </w:tc>
      </w:tr>
      <w:tr>
        <w:tc>
          <w:tcPr>
            <w:tcW w:type="dxa" w:w="90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Оценка рисков неблагоприятных последствий:</w:t>
            </w:r>
          </w:p>
        </w:tc>
      </w:tr>
      <w:tr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Риски неблагоприятных последствий не установлены</w:t>
            </w:r>
          </w:p>
        </w:tc>
        <w:tc>
          <w:tcPr>
            <w:tcW w:type="dxa" w:w="2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00000">
            <w:pPr>
              <w:pStyle w:val="Style_5"/>
              <w:widowControl w:val="1"/>
              <w:ind/>
              <w:jc w:val="both"/>
              <w:rPr>
                <w:rFonts w:ascii="Times New Roman" w:hAnsi="Times New Roman"/>
                <w:sz w:val="26"/>
              </w:rPr>
            </w:pPr>
          </w:p>
        </w:tc>
      </w:tr>
    </w:tbl>
    <w:p w14:paraId="37000000">
      <w:pPr>
        <w:pStyle w:val="Style_5"/>
        <w:widowControl w:val="1"/>
        <w:ind/>
        <w:jc w:val="both"/>
        <w:rPr>
          <w:rFonts w:ascii="Times New Roman" w:hAnsi="Times New Roman"/>
          <w:sz w:val="26"/>
        </w:rPr>
      </w:pPr>
    </w:p>
    <w:p w14:paraId="38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7. Обоснование выбора предпочтительного варианта:</w:t>
      </w:r>
      <w:r>
        <w:rPr>
          <w:rFonts w:ascii="Times New Roman" w:hAnsi="Times New Roman"/>
          <w:sz w:val="26"/>
        </w:rPr>
        <w:t xml:space="preserve"> вариант 1 позволит </w:t>
      </w:r>
      <w:r>
        <w:rPr>
          <w:rFonts w:ascii="Times New Roman" w:hAnsi="Times New Roman"/>
          <w:sz w:val="26"/>
        </w:rPr>
        <w:t>осуществл</w:t>
      </w:r>
      <w:r>
        <w:rPr>
          <w:rFonts w:ascii="Times New Roman" w:hAnsi="Times New Roman"/>
          <w:sz w:val="26"/>
        </w:rPr>
        <w:t>ять</w:t>
      </w:r>
      <w:r>
        <w:rPr>
          <w:rFonts w:ascii="Times New Roman" w:hAnsi="Times New Roman"/>
          <w:sz w:val="26"/>
        </w:rPr>
        <w:t xml:space="preserve"> региональн</w:t>
      </w:r>
      <w:r>
        <w:rPr>
          <w:rFonts w:ascii="Times New Roman" w:hAnsi="Times New Roman"/>
          <w:sz w:val="26"/>
        </w:rPr>
        <w:t>ый</w:t>
      </w:r>
      <w:r>
        <w:rPr>
          <w:rFonts w:ascii="Times New Roman" w:hAnsi="Times New Roman"/>
          <w:sz w:val="26"/>
        </w:rPr>
        <w:t xml:space="preserve"> государственн</w:t>
      </w:r>
      <w:r>
        <w:rPr>
          <w:rFonts w:ascii="Times New Roman" w:hAnsi="Times New Roman"/>
          <w:sz w:val="26"/>
        </w:rPr>
        <w:t>ый</w:t>
      </w:r>
      <w:r>
        <w:rPr>
          <w:rFonts w:ascii="Times New Roman" w:hAnsi="Times New Roman"/>
          <w:sz w:val="26"/>
        </w:rPr>
        <w:t xml:space="preserve"> контрол</w:t>
      </w:r>
      <w:r>
        <w:rPr>
          <w:rFonts w:ascii="Times New Roman" w:hAnsi="Times New Roman"/>
          <w:sz w:val="26"/>
        </w:rPr>
        <w:t>ь</w:t>
      </w:r>
      <w:r>
        <w:rPr>
          <w:rFonts w:ascii="Times New Roman" w:hAnsi="Times New Roman"/>
          <w:sz w:val="26"/>
        </w:rPr>
        <w:t xml:space="preserve"> (надзор) за соблюдением юридическими лицами, индивидуальными предпринимателями, подрядчиками требований к порядку и срокам размещения в единой информационной системе жилищного строительства информации и сведений, предусмотренных частями 2 и 4 статьи 4 Федерального закона от 22.07.2024 № 186-ФЗ «О строительстве жилых домов по договорам строительного подряда с использованием счетов эскроу», необходимых для строительства жилых домов по договорам строительного подряда</w:t>
      </w:r>
      <w:r>
        <w:rPr>
          <w:rFonts w:ascii="Times New Roman" w:hAnsi="Times New Roman"/>
          <w:sz w:val="26"/>
        </w:rPr>
        <w:t>.</w:t>
      </w:r>
    </w:p>
    <w:p w14:paraId="39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8. Иная информация об идее предлагаемо</w:t>
      </w:r>
      <w:r>
        <w:rPr>
          <w:rFonts w:ascii="Times New Roman" w:hAnsi="Times New Roman"/>
          <w:b w:val="1"/>
          <w:sz w:val="26"/>
        </w:rPr>
        <w:t>го правового регулирования:</w:t>
      </w:r>
      <w:r>
        <w:rPr>
          <w:rFonts w:ascii="Times New Roman" w:hAnsi="Times New Roman"/>
          <w:sz w:val="26"/>
        </w:rPr>
        <w:t xml:space="preserve"> отсутствует.</w:t>
      </w:r>
    </w:p>
    <w:p w14:paraId="3A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 xml:space="preserve">9. </w:t>
      </w:r>
      <w:r>
        <w:rPr>
          <w:rFonts w:ascii="Times New Roman" w:hAnsi="Times New Roman"/>
          <w:b w:val="1"/>
          <w:sz w:val="26"/>
        </w:rPr>
        <w:t>Ответственное лицо:</w:t>
      </w:r>
      <w:r>
        <w:rPr>
          <w:rFonts w:ascii="Times New Roman" w:hAnsi="Times New Roman"/>
          <w:sz w:val="26"/>
        </w:rPr>
        <w:t xml:space="preserve"> Филиппов Александр Николаевич</w:t>
      </w:r>
      <w:r>
        <w:rPr>
          <w:rFonts w:ascii="Times New Roman" w:hAnsi="Times New Roman"/>
          <w:sz w:val="26"/>
        </w:rPr>
        <w:t xml:space="preserve">, </w:t>
      </w:r>
      <w:r>
        <w:rPr>
          <w:rFonts w:ascii="Times New Roman" w:hAnsi="Times New Roman"/>
          <w:sz w:val="26"/>
        </w:rPr>
        <w:t>заместител</w:t>
      </w:r>
      <w:r>
        <w:rPr>
          <w:rFonts w:ascii="Times New Roman" w:hAnsi="Times New Roman"/>
          <w:sz w:val="26"/>
        </w:rPr>
        <w:t>ь</w:t>
      </w:r>
      <w:r>
        <w:rPr>
          <w:rFonts w:ascii="Times New Roman" w:hAnsi="Times New Roman"/>
          <w:sz w:val="26"/>
        </w:rPr>
        <w:t xml:space="preserve"> начальника управления государственного строительного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и жилищного надзора Департамента внутреннего контроля и надзора Ненецкого автономного округа – начальник отдела государственной экспертизы и государственного строитель</w:t>
      </w:r>
      <w:bookmarkStart w:id="1" w:name="_GoBack"/>
      <w:bookmarkEnd w:id="1"/>
      <w:r>
        <w:rPr>
          <w:rFonts w:ascii="Times New Roman" w:hAnsi="Times New Roman"/>
          <w:sz w:val="26"/>
        </w:rPr>
        <w:t>ного надзора</w:t>
      </w:r>
      <w:r>
        <w:rPr>
          <w:rFonts w:ascii="Times New Roman" w:hAnsi="Times New Roman"/>
          <w:sz w:val="26"/>
        </w:rPr>
        <w:t>.</w:t>
      </w:r>
    </w:p>
    <w:p w14:paraId="3B000000">
      <w:pPr>
        <w:pStyle w:val="Style_1"/>
        <w:widowControl w:val="1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6"/>
        </w:rPr>
        <w:t>Контактные данные: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2-19</w:t>
      </w:r>
      <w:r>
        <w:rPr>
          <w:rFonts w:ascii="Times New Roman" w:hAnsi="Times New Roman"/>
          <w:sz w:val="26"/>
        </w:rPr>
        <w:t>-32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z w:val="26"/>
        </w:rPr>
        <w:t xml:space="preserve"> </w:t>
      </w:r>
      <w:r>
        <w:rPr>
          <w:rStyle w:val="Style_2_ch"/>
          <w:rFonts w:ascii="Times New Roman" w:hAnsi="Times New Roman"/>
          <w:sz w:val="26"/>
        </w:rPr>
        <w:fldChar w:fldCharType="begin"/>
      </w:r>
      <w:r>
        <w:rPr>
          <w:rStyle w:val="Style_2_ch"/>
          <w:rFonts w:ascii="Times New Roman" w:hAnsi="Times New Roman"/>
          <w:sz w:val="26"/>
        </w:rPr>
        <w:instrText>HYPERLINK "mailto:afilippov@adm-nao.ru"</w:instrText>
      </w:r>
      <w:r>
        <w:rPr>
          <w:rStyle w:val="Style_2_ch"/>
          <w:rFonts w:ascii="Times New Roman" w:hAnsi="Times New Roman"/>
          <w:sz w:val="26"/>
        </w:rPr>
        <w:fldChar w:fldCharType="separate"/>
      </w:r>
      <w:r>
        <w:rPr>
          <w:rStyle w:val="Style_2_ch"/>
          <w:rFonts w:ascii="Times New Roman" w:hAnsi="Times New Roman"/>
          <w:sz w:val="26"/>
        </w:rPr>
        <w:t>afilippov</w:t>
      </w:r>
      <w:r>
        <w:rPr>
          <w:rStyle w:val="Style_2_ch"/>
          <w:rFonts w:ascii="Times New Roman" w:hAnsi="Times New Roman"/>
          <w:sz w:val="26"/>
        </w:rPr>
        <w:t>@adm-nao.ru</w:t>
      </w:r>
      <w:r>
        <w:rPr>
          <w:rStyle w:val="Style_2_ch"/>
          <w:rFonts w:ascii="Times New Roman" w:hAnsi="Times New Roman"/>
          <w:sz w:val="26"/>
        </w:rPr>
        <w:fldChar w:fldCharType="end"/>
      </w:r>
      <w:r>
        <w:rPr>
          <w:rFonts w:ascii="Times New Roman" w:hAnsi="Times New Roman"/>
          <w:sz w:val="26"/>
        </w:rPr>
        <w:t>.</w:t>
      </w:r>
    </w:p>
    <w:p w14:paraId="3C000000">
      <w:pPr>
        <w:pStyle w:val="Style_1"/>
        <w:widowControl w:val="1"/>
        <w:ind/>
        <w:jc w:val="both"/>
        <w:rPr>
          <w:rFonts w:ascii="Times New Roman" w:hAnsi="Times New Roman"/>
          <w:sz w:val="26"/>
        </w:rPr>
      </w:pPr>
    </w:p>
    <w:sectPr>
      <w:pgSz w:h="16838" w:orient="portrait" w:w="11906"/>
      <w:pgMar w:bottom="1134" w:footer="0" w:gutter="0" w:header="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widowControl w:val="1"/>
      <w:spacing w:after="160" w:line="259" w:lineRule="auto"/>
      <w:ind/>
    </w:pPr>
  </w:style>
  <w:style w:default="1" w:styleId="Style_7_ch" w:type="character">
    <w:name w:val="Normal"/>
    <w:link w:val="Style_7"/>
  </w:style>
  <w:style w:styleId="Style_8" w:type="paragraph">
    <w:name w:val="Указатель (user)"/>
    <w:basedOn w:val="Style_7"/>
    <w:link w:val="Style_8_ch"/>
    <w:rPr>
      <w:rFonts w:ascii="PT Astra Serif" w:hAnsi="PT Astra Serif"/>
    </w:rPr>
  </w:style>
  <w:style w:styleId="Style_8_ch" w:type="character">
    <w:name w:val="Указатель (user)"/>
    <w:basedOn w:val="Style_7_ch"/>
    <w:link w:val="Style_8"/>
    <w:rPr>
      <w:rFonts w:ascii="PT Astra Serif" w:hAnsi="PT Astra Serif"/>
    </w:rPr>
  </w:style>
  <w:style w:styleId="Style_9" w:type="paragraph">
    <w:name w:val="toc 2"/>
    <w:next w:val="Style_7"/>
    <w:link w:val="Style_9_ch"/>
    <w:uiPriority w:val="39"/>
    <w:pPr>
      <w:widowControl w:val="1"/>
      <w:ind w:left="200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4" w:type="paragraph">
    <w:name w:val="Strong"/>
    <w:basedOn w:val="Style_10"/>
    <w:link w:val="Style_4_ch"/>
    <w:rPr>
      <w:b w:val="1"/>
    </w:rPr>
  </w:style>
  <w:style w:styleId="Style_4_ch" w:type="character">
    <w:name w:val="Strong"/>
    <w:basedOn w:val="Style_10_ch"/>
    <w:link w:val="Style_4"/>
    <w:rPr>
      <w:b w:val="1"/>
    </w:rPr>
  </w:style>
  <w:style w:styleId="Style_11" w:type="paragraph">
    <w:name w:val="toc 4"/>
    <w:next w:val="Style_7"/>
    <w:link w:val="Style_11_ch"/>
    <w:uiPriority w:val="39"/>
    <w:pPr>
      <w:widowControl w:val="1"/>
      <w:ind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7"/>
    <w:link w:val="Style_12_ch"/>
    <w:uiPriority w:val="39"/>
    <w:pPr>
      <w:widowControl w:val="1"/>
      <w:ind w:left="1000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7"/>
    <w:link w:val="Style_13_ch"/>
    <w:uiPriority w:val="39"/>
    <w:pPr>
      <w:widowControl w:val="1"/>
      <w:ind w:left="1200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caption"/>
    <w:basedOn w:val="Style_7"/>
    <w:link w:val="Style_1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4_ch" w:type="character">
    <w:name w:val="caption"/>
    <w:basedOn w:val="Style_7_ch"/>
    <w:link w:val="Style_14"/>
    <w:rPr>
      <w:rFonts w:ascii="PT Astra Serif" w:hAnsi="PT Astra Serif"/>
      <w:i w:val="1"/>
      <w:sz w:val="24"/>
    </w:rPr>
  </w:style>
  <w:style w:styleId="Style_15" w:type="paragraph">
    <w:name w:val="Endnote"/>
    <w:link w:val="Style_15_ch"/>
    <w:pPr>
      <w:widowControl w:val="1"/>
      <w:ind w:firstLine="851"/>
      <w:jc w:val="both"/>
    </w:pPr>
    <w:rPr>
      <w:rFonts w:ascii="XO Thames" w:hAnsi="XO Thames"/>
    </w:rPr>
  </w:style>
  <w:style w:styleId="Style_15_ch" w:type="character">
    <w:name w:val="Endnote"/>
    <w:link w:val="Style_15"/>
    <w:rPr>
      <w:rFonts w:ascii="XO Thames" w:hAnsi="XO Thames"/>
    </w:rPr>
  </w:style>
  <w:style w:styleId="Style_16" w:type="paragraph">
    <w:name w:val="heading 3"/>
    <w:next w:val="Style_7"/>
    <w:link w:val="Style_16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Body Text"/>
    <w:basedOn w:val="Style_7"/>
    <w:link w:val="Style_17_ch"/>
    <w:pPr>
      <w:widowControl w:val="1"/>
      <w:spacing w:after="140" w:line="276" w:lineRule="auto"/>
      <w:ind/>
    </w:pPr>
  </w:style>
  <w:style w:styleId="Style_17_ch" w:type="character">
    <w:name w:val="Body Text"/>
    <w:basedOn w:val="Style_7_ch"/>
    <w:link w:val="Style_17"/>
  </w:style>
  <w:style w:styleId="Style_1" w:type="paragraph">
    <w:name w:val="ConsPlusNonformat"/>
    <w:link w:val="Style_1_ch"/>
    <w:pPr>
      <w:widowControl w:val="0"/>
      <w:ind/>
    </w:pPr>
    <w:rPr>
      <w:rFonts w:ascii="Courier New" w:hAnsi="Courier New"/>
      <w:sz w:val="20"/>
    </w:rPr>
  </w:style>
  <w:style w:styleId="Style_1_ch" w:type="character">
    <w:name w:val="ConsPlusNonformat"/>
    <w:link w:val="Style_1"/>
    <w:rPr>
      <w:rFonts w:ascii="Courier New" w:hAnsi="Courier New"/>
      <w:sz w:val="20"/>
    </w:rPr>
  </w:style>
  <w:style w:styleId="Style_18" w:type="paragraph">
    <w:name w:val="Обычный1"/>
    <w:link w:val="Style_18_ch"/>
    <w:rPr>
      <w:rFonts w:asciiTheme="minorAscii" w:hAnsiTheme="minorHAnsi"/>
      <w:color w:val="000000"/>
      <w:sz w:val="22"/>
    </w:rPr>
  </w:style>
  <w:style w:styleId="Style_18_ch" w:type="character">
    <w:name w:val="Обычный1"/>
    <w:link w:val="Style_18"/>
    <w:rPr>
      <w:rFonts w:asciiTheme="minorAscii" w:hAnsiTheme="minorHAnsi"/>
      <w:color w:val="000000"/>
      <w:sz w:val="22"/>
    </w:rPr>
  </w:style>
  <w:style w:styleId="Style_19" w:type="paragraph">
    <w:name w:val="toc 3"/>
    <w:next w:val="Style_7"/>
    <w:link w:val="Style_19_ch"/>
    <w:uiPriority w:val="39"/>
    <w:pPr>
      <w:widowControl w:val="1"/>
      <w:ind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eading 5"/>
    <w:next w:val="Style_7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21" w:type="paragraph">
    <w:name w:val="heading 1"/>
    <w:next w:val="Style_7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3" w:type="paragraph">
    <w:name w:val="Normal (Web)"/>
    <w:basedOn w:val="Style_7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_ch" w:type="character">
    <w:name w:val="Normal (Web)"/>
    <w:basedOn w:val="Style_7_ch"/>
    <w:link w:val="Style_3"/>
    <w:rPr>
      <w:rFonts w:ascii="Times New Roman" w:hAnsi="Times New Roman"/>
      <w:color w:val="000000"/>
      <w:sz w:val="24"/>
    </w:rPr>
  </w:style>
  <w:style w:styleId="Style_22" w:type="paragraph">
    <w:name w:val="Заголовок (user)"/>
    <w:basedOn w:val="Style_7"/>
    <w:next w:val="Style_17"/>
    <w:link w:val="Style_2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2_ch" w:type="character">
    <w:name w:val="Заголовок (user)"/>
    <w:basedOn w:val="Style_7_ch"/>
    <w:link w:val="Style_22"/>
    <w:rPr>
      <w:rFonts w:ascii="PT Astra Serif" w:hAnsi="PT Astra Serif"/>
      <w:sz w:val="28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widowControl w:val="1"/>
      <w:ind w:firstLine="851"/>
      <w:jc w:val="both"/>
    </w:pPr>
    <w:rPr>
      <w:rFonts w:ascii="XO Thames" w:hAnsi="XO Thames"/>
    </w:rPr>
  </w:style>
  <w:style w:styleId="Style_24_ch" w:type="character">
    <w:name w:val="Footnote"/>
    <w:link w:val="Style_24"/>
    <w:rPr>
      <w:rFonts w:ascii="XO Thames" w:hAnsi="XO Thames"/>
    </w:rPr>
  </w:style>
  <w:style w:styleId="Style_25" w:type="paragraph">
    <w:name w:val="index heading"/>
    <w:basedOn w:val="Style_7"/>
    <w:link w:val="Style_25_ch"/>
    <w:rPr>
      <w:rFonts w:ascii="PT Astra Serif" w:hAnsi="PT Astra Serif"/>
    </w:rPr>
  </w:style>
  <w:style w:styleId="Style_25_ch" w:type="character">
    <w:name w:val="index heading"/>
    <w:basedOn w:val="Style_7_ch"/>
    <w:link w:val="Style_25"/>
    <w:rPr>
      <w:rFonts w:ascii="PT Astra Serif" w:hAnsi="PT Astra Serif"/>
    </w:rPr>
  </w:style>
  <w:style w:styleId="Style_26" w:type="paragraph">
    <w:name w:val="toc 1"/>
    <w:next w:val="Style_7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8" w:type="paragraph">
    <w:name w:val="toc 9"/>
    <w:next w:val="Style_7"/>
    <w:link w:val="Style_28_ch"/>
    <w:uiPriority w:val="39"/>
    <w:pPr>
      <w:widowControl w:val="1"/>
      <w:ind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7"/>
    <w:link w:val="Style_29_ch"/>
    <w:uiPriority w:val="39"/>
    <w:pPr>
      <w:widowControl w:val="1"/>
      <w:ind w:left="1400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Основной шрифт абзаца1"/>
    <w:link w:val="Style_30_ch"/>
  </w:style>
  <w:style w:styleId="Style_30_ch" w:type="character">
    <w:name w:val="Основной шрифт абзаца1"/>
    <w:link w:val="Style_30"/>
  </w:style>
  <w:style w:styleId="Style_31" w:type="paragraph">
    <w:name w:val="List"/>
    <w:basedOn w:val="Style_17"/>
    <w:link w:val="Style_31_ch"/>
    <w:rPr>
      <w:rFonts w:ascii="PT Astra Serif" w:hAnsi="PT Astra Serif"/>
    </w:rPr>
  </w:style>
  <w:style w:styleId="Style_31_ch" w:type="character">
    <w:name w:val="List"/>
    <w:basedOn w:val="Style_17_ch"/>
    <w:link w:val="Style_31"/>
    <w:rPr>
      <w:rFonts w:ascii="PT Astra Serif" w:hAnsi="PT Astra Serif"/>
    </w:rPr>
  </w:style>
  <w:style w:styleId="Style_32" w:type="paragraph">
    <w:name w:val="toc 5"/>
    <w:next w:val="Style_7"/>
    <w:link w:val="Style_32_ch"/>
    <w:uiPriority w:val="39"/>
    <w:pPr>
      <w:widowControl w:val="1"/>
      <w:ind w:left="800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Заголовок"/>
    <w:basedOn w:val="Style_7"/>
    <w:next w:val="Style_17"/>
    <w:link w:val="Style_3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3_ch" w:type="character">
    <w:name w:val="Заголовок"/>
    <w:basedOn w:val="Style_7_ch"/>
    <w:link w:val="Style_33"/>
    <w:rPr>
      <w:rFonts w:ascii="PT Astra Serif" w:hAnsi="PT Astra Serif"/>
      <w:sz w:val="28"/>
    </w:rPr>
  </w:style>
  <w:style w:styleId="Style_34" w:type="paragraph">
    <w:name w:val="Subtitle"/>
    <w:next w:val="Style_7"/>
    <w:link w:val="Style_3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7"/>
    <w:link w:val="Style_3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7"/>
    <w:link w:val="Style_3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2" w:type="paragraph">
    <w:name w:val="Гиперссылка1"/>
    <w:basedOn w:val="Style_30"/>
    <w:link w:val="Style_2_ch"/>
    <w:rPr>
      <w:color w:themeColor="hyperlink" w:val="0563C1"/>
      <w:u w:val="single"/>
    </w:rPr>
  </w:style>
  <w:style w:styleId="Style_2_ch" w:type="character">
    <w:name w:val="Гиперссылка1"/>
    <w:basedOn w:val="Style_30_ch"/>
    <w:link w:val="Style_2"/>
    <w:rPr>
      <w:color w:themeColor="hyperlink" w:val="0563C1"/>
      <w:u w:val="single"/>
    </w:rPr>
  </w:style>
  <w:style w:styleId="Style_37" w:type="paragraph">
    <w:name w:val="heading 2"/>
    <w:next w:val="Style_7"/>
    <w:link w:val="Style_3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5" w:type="paragraph">
    <w:name w:val="ConsPlusNormal"/>
    <w:link w:val="Style_5_ch"/>
    <w:pPr>
      <w:widowControl w:val="0"/>
      <w:ind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2026-09-15T13:38:00Z</dcterms:created>
  <dcterms:modified xsi:type="dcterms:W3CDTF">2026-09-17T07:49:38Z</dcterms:modified>
</cp:coreProperties>
</file>